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rPr>
      </w:pPr>
      <w:r>
        <w:rPr>
          <w:rFonts w:ascii="宋体" w:hAnsi="宋体" w:eastAsia="宋体"/>
        </w:rPr>
      </w:r>
      <w:r/>
    </w:p>
    <w:p>
      <w:pPr>
        <w:pStyle w:val="857"/>
        <w:rPr>
          <w:rFonts w:hint="eastAsia"/>
        </w:rPr>
      </w:pPr>
      <w:r>
        <w:rPr>
          <w:rFonts w:hint="eastAsia"/>
        </w:rPr>
      </w:r>
      <w:r/>
    </w:p>
    <w:p>
      <w:pPr>
        <w:pStyle w:val="844"/>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844"/>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844"/>
        <w:jc w:val="center"/>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rPr>
      </w:pPr>
      <w:r>
        <w:rPr>
          <w:rFonts w:ascii="宋体" w:hAnsi="宋体" w:eastAsia="宋体"/>
        </w:rPr>
      </w:r>
      <w:r/>
    </w:p>
    <w:p>
      <w:pPr>
        <w:pStyle w:val="844"/>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JSZC-320500-SZHX-C2025-0055</w:t>
      </w:r>
      <w:r>
        <w:rPr>
          <w:rFonts w:hint="eastAsia" w:ascii="宋体" w:hAnsi="宋体" w:eastAsia="宋体"/>
          <w:b/>
          <w:spacing w:val="-6"/>
          <w:sz w:val="32"/>
        </w:rPr>
      </w:r>
      <w:r/>
    </w:p>
    <w:p>
      <w:pPr>
        <w:pStyle w:val="844"/>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采购单位：苏州市农业农村局</w:t>
      </w:r>
      <w:r/>
    </w:p>
    <w:p>
      <w:pPr>
        <w:pStyle w:val="844"/>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采购内容：第二十五届江苏农业国际合作洽谈会</w:t>
      </w:r>
      <w:r>
        <w:rPr>
          <w:rFonts w:ascii="宋体" w:hAnsi="宋体" w:eastAsia="宋体"/>
          <w:b/>
          <w:spacing w:val="-6"/>
          <w:sz w:val="32"/>
        </w:rPr>
      </w:r>
      <w:r/>
    </w:p>
    <w:p>
      <w:pPr>
        <w:pStyle w:val="844"/>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890"/>
        <w:jc w:val="center"/>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b/>
        </w:rPr>
      </w:pPr>
      <w:r>
        <w:rPr>
          <w:rFonts w:ascii="宋体" w:hAnsi="宋体" w:eastAsia="宋体"/>
          <w:b/>
        </w:rPr>
      </w:r>
      <w:r/>
    </w:p>
    <w:p>
      <w:pPr>
        <w:pStyle w:val="844"/>
        <w:jc w:val="center"/>
        <w:spacing w:line="360" w:lineRule="auto"/>
        <w:rPr>
          <w:rFonts w:ascii="宋体" w:hAnsi="宋体" w:eastAsia="宋体"/>
        </w:rPr>
      </w:pPr>
      <w:r>
        <w:rPr>
          <w:rFonts w:ascii="宋体" w:hAnsi="宋体" w:eastAsia="宋体"/>
        </w:rPr>
      </w:r>
      <w:r/>
    </w:p>
    <w:p>
      <w:pPr>
        <w:pStyle w:val="857"/>
      </w:pPr>
      <w:r/>
      <w:r/>
    </w:p>
    <w:p>
      <w:pPr>
        <w:pStyle w:val="857"/>
      </w:pPr>
      <w:r/>
      <w:r/>
    </w:p>
    <w:p>
      <w:pPr>
        <w:pStyle w:val="857"/>
      </w:pPr>
      <w:r/>
      <w:r/>
    </w:p>
    <w:p>
      <w:pPr>
        <w:pStyle w:val="844"/>
        <w:jc w:val="center"/>
        <w:spacing w:line="360" w:lineRule="auto"/>
        <w:rPr>
          <w:rFonts w:ascii="宋体" w:hAnsi="宋体" w:eastAsia="宋体"/>
          <w:b/>
        </w:rPr>
      </w:pPr>
      <w:r>
        <w:rPr>
          <w:rFonts w:ascii="宋体" w:hAnsi="宋体" w:eastAsia="宋体"/>
          <w:b/>
        </w:rPr>
      </w:r>
      <w:r/>
    </w:p>
    <w:p>
      <w:pPr>
        <w:pStyle w:val="844"/>
        <w:jc w:val="center"/>
        <w:spacing w:line="360" w:lineRule="auto"/>
        <w:rPr>
          <w:rFonts w:ascii="宋体" w:hAnsi="宋体" w:eastAsia="宋体"/>
          <w:b/>
          <w:sz w:val="32"/>
        </w:rPr>
      </w:pPr>
      <w:r>
        <w:rPr>
          <w:rFonts w:ascii="宋体" w:hAnsi="宋体" w:eastAsia="宋体"/>
          <w:b/>
          <w:sz w:val="32"/>
        </w:rPr>
      </w:r>
      <w:r/>
    </w:p>
    <w:p>
      <w:pPr>
        <w:pStyle w:val="844"/>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844"/>
        <w:jc w:val="center"/>
        <w:spacing w:line="360" w:lineRule="auto"/>
        <w:rPr>
          <w:rFonts w:ascii="宋体" w:hAnsi="宋体" w:eastAsia="宋体"/>
          <w:b/>
          <w:sz w:val="32"/>
        </w:rPr>
      </w:pPr>
      <w:r>
        <w:rPr>
          <w:rFonts w:hint="eastAsia" w:ascii="宋体" w:hAnsi="宋体" w:eastAsia="宋体"/>
          <w:b/>
          <w:sz w:val="32"/>
        </w:rPr>
        <w:t xml:space="preserve">二○二五年十二月</w:t>
      </w:r>
      <w:r>
        <w:rPr>
          <w:rFonts w:ascii="宋体" w:hAnsi="宋体" w:eastAsia="宋体"/>
          <w:b/>
          <w:sz w:val="32"/>
        </w:rPr>
      </w:r>
      <w:r/>
    </w:p>
    <w:p>
      <w:pPr>
        <w:pStyle w:val="844"/>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844"/>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844"/>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844"/>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844"/>
              <w:jc w:val="left"/>
              <w:tabs>
                <w:tab w:val="left" w:pos="988" w:leader="none"/>
              </w:tabs>
              <w:rPr>
                <w:rFonts w:hint="eastAsia"/>
                <w:sz w:val="24"/>
                <w:szCs w:val="24"/>
              </w:rPr>
            </w:pPr>
            <w:r>
              <w:rPr>
                <w:rFonts w:hint="eastAsia" w:ascii="宋体" w:hAnsi="宋体" w:eastAsia="宋体"/>
                <w:sz w:val="21"/>
                <w:szCs w:val="21"/>
              </w:rPr>
              <w:t xml:space="preserve">采购内容：第二十五届江苏农业国际合作洽谈会</w:t>
            </w:r>
            <w:r>
              <w:rPr>
                <w:rFonts w:hint="eastAsia"/>
                <w:sz w:val="24"/>
                <w:szCs w:val="24"/>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844"/>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磋商响应文件份数：本项目采用电子响应文件，供应商按照采购文件要求制作上传电子响应文件，不接受纸质响应文件。成交后，成交单位提供三份纸质响应文件。</w:t>
            </w:r>
            <w:r>
              <w:rPr>
                <w:rFonts w:hint="eastAsia"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5年12月30日13点30分（北京时间）</w:t>
            </w:r>
            <w:r>
              <w:rPr>
                <w:rFonts w:ascii="宋体" w:hAnsi="宋体" w:eastAsia="宋体"/>
                <w:sz w:val="21"/>
                <w:szCs w:val="21"/>
              </w:rPr>
            </w:r>
            <w:r/>
          </w:p>
          <w:p>
            <w:pPr>
              <w:pStyle w:val="844"/>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5年12月30日13点30分（北京时间）</w:t>
            </w:r>
            <w:r>
              <w:rPr>
                <w:rFonts w:ascii="宋体" w:hAnsi="宋体" w:eastAsia="宋体"/>
                <w:sz w:val="21"/>
                <w:szCs w:val="21"/>
              </w:rPr>
            </w:r>
            <w:r/>
          </w:p>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844"/>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w:t>
            </w:r>
            <w:r>
              <w:rPr>
                <w:rFonts w:hint="eastAsia" w:ascii="宋体" w:hAnsi="宋体" w:eastAsia="宋体"/>
                <w:b/>
                <w:bCs/>
                <w:sz w:val="21"/>
                <w:szCs w:val="21"/>
              </w:rPr>
              <w:t xml:space="preserve">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5年12月30日13点30分（北京时间）</w:t>
            </w:r>
            <w:r>
              <w:rPr>
                <w:rFonts w:ascii="宋体" w:hAnsi="宋体" w:eastAsia="宋体"/>
                <w:sz w:val="21"/>
                <w:szCs w:val="21"/>
              </w:rPr>
            </w:r>
            <w:r/>
          </w:p>
          <w:p>
            <w:pPr>
              <w:pStyle w:val="844"/>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w:t>
            </w:r>
            <w:r>
              <w:rPr>
                <w:rFonts w:hint="eastAsia" w:ascii="宋体" w:hAnsi="宋体" w:eastAsia="宋体"/>
                <w:sz w:val="21"/>
                <w:szCs w:val="21"/>
              </w:rPr>
              <w:t xml:space="preserve">分预算金额的0.25%。</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844"/>
              <w:rPr>
                <w:rFonts w:ascii="宋体" w:hAnsi="宋体" w:eastAsia="宋体"/>
                <w:sz w:val="21"/>
                <w:szCs w:val="21"/>
              </w:rPr>
            </w:pPr>
            <w:r>
              <w:rPr>
                <w:rFonts w:hint="eastAsia" w:ascii="宋体" w:hAnsi="宋体" w:eastAsia="宋体"/>
                <w:sz w:val="21"/>
                <w:szCs w:val="21"/>
              </w:rPr>
              <w:t xml:space="preserve">本项目代理服务费按人民币47670元整计收。</w:t>
            </w:r>
            <w:r>
              <w:rPr>
                <w:rFonts w:ascii="宋体" w:hAnsi="宋体" w:eastAsia="宋体"/>
                <w:sz w:val="21"/>
                <w:szCs w:val="21"/>
              </w:rPr>
            </w:r>
            <w:r/>
          </w:p>
          <w:p>
            <w:pPr>
              <w:pStyle w:val="844"/>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844"/>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844"/>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供应商缴纳代理服务费时，如需增值税专用发票的，则须提供有关信息资料，具体要求详见第三章。</w:t>
            </w:r>
            <w:r>
              <w:rPr>
                <w:rFonts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844"/>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863"/>
        <w:ind w:firstLine="0"/>
        <w:jc w:val="center"/>
        <w:spacing w:line="360" w:lineRule="auto"/>
        <w:rPr>
          <w:rFonts w:ascii="宋体" w:hAnsi="宋体" w:eastAsia="宋体"/>
          <w:sz w:val="44"/>
          <w:szCs w:val="44"/>
        </w:rPr>
      </w:pPr>
      <w:r>
        <w:rPr>
          <w:rFonts w:ascii="宋体" w:hAnsi="宋体" w:eastAsia="宋体"/>
          <w:sz w:val="44"/>
          <w:szCs w:val="44"/>
        </w:rPr>
      </w:r>
      <w:r/>
    </w:p>
    <w:p>
      <w:pPr>
        <w:pStyle w:val="890"/>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p>
    <w:p>
      <w:pPr>
        <w:pStyle w:val="890"/>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p>
    <w:p>
      <w:pPr>
        <w:pStyle w:val="890"/>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21</w:t>
      </w:r>
      <w:r>
        <w:fldChar w:fldCharType="end"/>
      </w:r>
      <w:r/>
    </w:p>
    <w:p>
      <w:pPr>
        <w:pStyle w:val="890"/>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31</w:t>
      </w:r>
      <w:r>
        <w:fldChar w:fldCharType="end"/>
      </w:r>
      <w:r/>
    </w:p>
    <w:p>
      <w:pPr>
        <w:pStyle w:val="890"/>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w:instrText>
      </w:r>
      <w:r>
        <w:instrText xml:space="preserve">_Toc7356 </w:instrText>
      </w:r>
      <w:r>
        <w:fldChar w:fldCharType="separate"/>
      </w:r>
      <w:r>
        <w:t xml:space="preserve">36</w:t>
      </w:r>
      <w:r>
        <w:fldChar w:fldCharType="end"/>
      </w:r>
      <w:r/>
    </w:p>
    <w:p>
      <w:pPr>
        <w:pStyle w:val="863"/>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844"/>
        <w:jc w:val="left"/>
        <w:spacing w:line="360" w:lineRule="auto"/>
        <w:widowControl/>
        <w:rPr>
          <w:rFonts w:ascii="宋体" w:hAnsi="宋体" w:eastAsia="宋体"/>
        </w:rPr>
      </w:pPr>
      <w:r>
        <w:rPr>
          <w:rFonts w:ascii="宋体" w:hAnsi="宋体" w:eastAsia="宋体"/>
        </w:rPr>
        <w:br w:type="page" w:clear="all"/>
      </w:r>
      <w:r/>
    </w:p>
    <w:p>
      <w:pPr>
        <w:pStyle w:val="844"/>
        <w:jc w:val="left"/>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5"/>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844"/>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844"/>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35393798"/>
      <w:r/>
      <w:bookmarkStart w:id="2" w:name="_Toc28359012"/>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844"/>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第二十五届江苏农业国际合作洽谈会</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u w:val="single"/>
        </w:rPr>
        <w:t xml:space="preserve">2025年12月30日13点30分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JSZC-320500-SZHX-C2025-0055</w:t>
      </w:r>
      <w:r>
        <w:rPr>
          <w:rFonts w:ascii="宋体" w:hAnsi="宋体" w:eastAsia="宋体"/>
          <w:sz w:val="21"/>
          <w:szCs w:val="21"/>
        </w:rPr>
      </w:r>
      <w:r/>
    </w:p>
    <w:p>
      <w:pPr>
        <w:pStyle w:val="844"/>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2.项目名称：第二十五届江苏农业国际合作洽谈会</w:t>
      </w:r>
      <w:r>
        <w:rPr>
          <w:rFonts w:ascii="宋体" w:hAnsi="宋体" w:eastAsia="宋体"/>
          <w:sz w:val="21"/>
          <w:szCs w:val="21"/>
          <w:u w:val="single"/>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4.预算金额：人民币叁佰玖拾柒万元整（￥：3970000</w:t>
      </w:r>
      <w:r>
        <w:rPr>
          <w:rFonts w:ascii="宋体" w:hAnsi="宋体" w:eastAsia="宋体"/>
          <w:sz w:val="21"/>
          <w:szCs w:val="21"/>
        </w:rPr>
        <w:t xml:space="preserve">.</w:t>
      </w:r>
      <w:r>
        <w:rPr>
          <w:rFonts w:ascii="宋体" w:hAnsi="宋体" w:eastAsia="宋体"/>
          <w:sz w:val="21"/>
          <w:szCs w:val="21"/>
        </w:rPr>
        <w:t xml:space="preserve">00</w:t>
      </w:r>
      <w:r>
        <w:rPr>
          <w:rFonts w:hint="eastAsia" w:ascii="宋体" w:hAnsi="宋体" w:eastAsia="宋体"/>
          <w:sz w:val="21"/>
          <w:szCs w:val="21"/>
        </w:rPr>
        <w:t xml:space="preserve">元）</w:t>
      </w:r>
      <w:r/>
    </w:p>
    <w:p>
      <w:pPr>
        <w:pStyle w:val="844"/>
        <w:ind w:firstLine="420"/>
        <w:spacing w:line="360" w:lineRule="auto"/>
        <w:rPr>
          <w:rFonts w:hint="eastAsia" w:ascii="宋体" w:hAnsi="宋体" w:eastAsia="宋体"/>
          <w:sz w:val="21"/>
          <w:szCs w:val="21"/>
        </w:rPr>
      </w:pPr>
      <w:r/>
      <w:bookmarkStart w:id="5" w:name="_Toc35393630"/>
      <w:r/>
      <w:bookmarkStart w:id="6" w:name="_Toc35393799"/>
      <w:r/>
      <w:bookmarkStart w:id="7" w:name="_Toc28359013"/>
      <w:r/>
      <w:bookmarkStart w:id="8" w:name="_Toc28359090"/>
      <w:r>
        <w:rPr>
          <w:rFonts w:hint="eastAsia" w:ascii="宋体" w:hAnsi="宋体" w:eastAsia="宋体"/>
          <w:sz w:val="21"/>
          <w:szCs w:val="21"/>
        </w:rPr>
        <w:t xml:space="preserve">5.最高限价：人民币叁佰玖拾柒万元整（￥：3970000</w:t>
      </w:r>
      <w:r>
        <w:rPr>
          <w:rFonts w:ascii="宋体" w:hAnsi="宋体" w:eastAsia="宋体"/>
          <w:sz w:val="21"/>
          <w:szCs w:val="21"/>
        </w:rPr>
        <w:t xml:space="preserve">.00</w:t>
      </w:r>
      <w:r>
        <w:rPr>
          <w:rFonts w:hint="eastAsia" w:ascii="宋体" w:hAnsi="宋体" w:eastAsia="宋体"/>
          <w:sz w:val="21"/>
          <w:szCs w:val="21"/>
        </w:rPr>
        <w:t xml:space="preserve">元）</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6.采购需求：第二十五届江苏农业国际合作洽谈会将于2026年4月24日～2026年4月26日在苏州国际博览中心举行。详见采购文件第三章。</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7.合同履行期限：自合同签订之日起至第二十五届江苏农业国际合作洽谈会项目服务全部完成（具体时间以采购单位通知为准）。</w:t>
      </w:r>
      <w:r>
        <w:rPr>
          <w:rFonts w:hint="eastAsia"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844"/>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hint="eastAsia" w:ascii="宋体" w:hAnsi="宋体" w:eastAsia="宋体"/>
          <w:sz w:val="21"/>
          <w:szCs w:val="21"/>
        </w:rPr>
        <w:t xml:space="preserve">单位负责人为同一人或者存在直接控股、管</w:t>
      </w:r>
      <w:r>
        <w:rPr>
          <w:rFonts w:hint="eastAsia" w:ascii="宋体" w:hAnsi="宋体" w:eastAsia="宋体"/>
          <w:sz w:val="21"/>
          <w:szCs w:val="21"/>
        </w:rPr>
        <w:t xml:space="preserve">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844"/>
        <w:spacing w:line="360" w:lineRule="auto"/>
        <w:rPr>
          <w:rFonts w:ascii="宋体" w:hAnsi="宋体" w:eastAsia="宋体" w:cs="宋体"/>
          <w:b/>
          <w:bCs/>
          <w:sz w:val="21"/>
          <w:szCs w:val="21"/>
        </w:rPr>
      </w:pPr>
      <w:r/>
      <w:bookmarkEnd w:id="9"/>
      <w:r/>
      <w:bookmarkEnd w:id="10"/>
      <w:r/>
      <w:bookmarkStart w:id="11" w:name="_Toc28359001"/>
      <w:r/>
      <w:bookmarkStart w:id="12" w:name="_Toc35393789"/>
      <w:r/>
      <w:bookmarkStart w:id="13" w:name="_Toc35393801"/>
      <w:r/>
      <w:bookmarkStart w:id="14" w:name="_Toc28359015"/>
      <w:r/>
      <w:bookmarkStart w:id="15" w:name="_Toc28359092"/>
      <w:r/>
      <w:bookmarkStart w:id="16" w:name="_Toc35393632"/>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863"/>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w:t>
      </w:r>
      <w:r>
        <w:rPr>
          <w:rFonts w:hint="eastAsia" w:ascii="宋体" w:hAnsi="宋体" w:eastAsia="宋体" w:cs="宋体"/>
          <w:bCs/>
          <w:sz w:val="21"/>
          <w:szCs w:val="21"/>
        </w:rPr>
        <w:t xml:space="preserve">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863"/>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w:t>
      </w:r>
      <w:r>
        <w:rPr>
          <w:rFonts w:hint="eastAsia" w:ascii="宋体" w:hAnsi="宋体" w:eastAsia="宋体"/>
          <w:sz w:val="21"/>
          <w:szCs w:val="21"/>
        </w:rPr>
        <w:t xml:space="preserve">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w:t>
      </w:r>
      <w:r>
        <w:rPr>
          <w:rFonts w:ascii="宋体" w:hAnsi="宋体" w:eastAsia="宋体"/>
          <w:b/>
          <w:sz w:val="21"/>
          <w:szCs w:val="21"/>
        </w:rPr>
        <w:t xml:space="preserve">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863"/>
        <w:spacing w:line="360" w:lineRule="auto"/>
        <w:rPr>
          <w:rFonts w:ascii="宋体" w:hAnsi="宋体" w:eastAsia="宋体" w:cs="宋体"/>
          <w:bCs/>
          <w:sz w:val="21"/>
          <w:szCs w:val="21"/>
        </w:rPr>
      </w:pPr>
      <w:r/>
      <w:bookmarkStart w:id="17" w:name="_Toc35393633"/>
      <w:r/>
      <w:bookmarkStart w:id="18" w:name="_Toc35393802"/>
      <w:r/>
      <w:bookmarkStart w:id="19" w:name="_Toc28359093"/>
      <w:r/>
      <w:bookmarkStart w:id="20" w:name="_Toc28359016"/>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2025年12月30日13点30分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863"/>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w:t>
      </w:r>
      <w:r>
        <w:rPr>
          <w:rFonts w:hint="eastAsia" w:ascii="宋体" w:hAnsi="宋体" w:eastAsia="宋体" w:cs="宋体"/>
          <w:b/>
          <w:bCs/>
          <w:sz w:val="21"/>
          <w:szCs w:val="21"/>
        </w:rPr>
        <w:t xml:space="preserve">不成功由供应商自行承担全部责任。</w:t>
      </w:r>
      <w:r>
        <w:rPr>
          <w:rFonts w:ascii="宋体" w:hAnsi="宋体" w:eastAsia="宋体" w:cs="宋体"/>
          <w:b/>
          <w:bCs/>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863"/>
        <w:spacing w:line="360" w:lineRule="auto"/>
        <w:rPr>
          <w:rFonts w:ascii="宋体" w:hAnsi="宋体" w:eastAsia="宋体" w:cs="宋体"/>
          <w:bCs/>
          <w:sz w:val="21"/>
          <w:szCs w:val="21"/>
        </w:rPr>
      </w:pPr>
      <w:r/>
      <w:bookmarkStart w:id="21" w:name="_Toc28359017"/>
      <w:r/>
      <w:bookmarkStart w:id="22" w:name="_Toc28359094"/>
      <w:r/>
      <w:bookmarkStart w:id="23" w:name="_Toc35393634"/>
      <w:r/>
      <w:bookmarkStart w:id="24" w:name="_Toc35393803"/>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2025年12月30日13点30分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863"/>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86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84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844"/>
        <w:spacing w:line="360" w:lineRule="auto"/>
        <w:rPr>
          <w:rFonts w:ascii="宋体" w:hAnsi="宋体" w:eastAsia="宋体" w:cs="宋体"/>
          <w:b/>
          <w:sz w:val="21"/>
          <w:szCs w:val="21"/>
        </w:rPr>
      </w:pPr>
      <w:r/>
      <w:bookmarkStart w:id="25" w:name="_Toc35393804"/>
      <w:r/>
      <w:bookmarkStart w:id="26" w:name="_Toc35393635"/>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844"/>
        <w:ind w:firstLine="420"/>
        <w:spacing w:line="360" w:lineRule="auto"/>
        <w:rPr>
          <w:rFonts w:ascii="宋体" w:hAnsi="宋体" w:eastAsia="宋体" w:cs="宋体"/>
          <w:sz w:val="21"/>
          <w:szCs w:val="21"/>
        </w:rPr>
      </w:pPr>
      <w:r/>
      <w:bookmarkStart w:id="27" w:name="_Toc35393636"/>
      <w:r/>
      <w:bookmarkStart w:id="28" w:name="_Toc28359018"/>
      <w:r/>
      <w:bookmarkStart w:id="29" w:name="_Toc35393805"/>
      <w:r/>
      <w:bookmarkStart w:id="30" w:name="_Toc28359095"/>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w:t>
      </w:r>
      <w:r>
        <w:rPr>
          <w:rFonts w:hint="eastAsia" w:ascii="宋体" w:hAnsi="宋体" w:eastAsia="宋体" w:cs="宋体"/>
          <w:sz w:val="21"/>
          <w:szCs w:val="21"/>
        </w:rPr>
        <w:t xml:space="preserve">采购合同信用融资。</w:t>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844"/>
        <w:ind w:firstLine="420"/>
        <w:jc w:val="left"/>
        <w:spacing w:line="360" w:lineRule="auto"/>
        <w:widowControl/>
        <w:rPr>
          <w:rFonts w:ascii="宋体" w:hAnsi="宋体" w:eastAsia="宋体" w:cs="宋体"/>
          <w:sz w:val="21"/>
          <w:szCs w:val="21"/>
        </w:rPr>
      </w:pPr>
      <w:r/>
      <w:bookmarkStart w:id="31" w:name="_Toc35393617"/>
      <w:r/>
      <w:bookmarkStart w:id="32" w:name="_Toc35393786"/>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称：苏州市农业农村局</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苏州市团结桥巷</w:t>
      </w:r>
      <w:r>
        <w:rPr>
          <w:rFonts w:ascii="宋体" w:hAnsi="宋体" w:eastAsia="宋体"/>
          <w:sz w:val="21"/>
          <w:szCs w:val="21"/>
        </w:rPr>
        <w:t xml:space="preserve">2</w:t>
      </w:r>
      <w:r>
        <w:rPr>
          <w:rFonts w:hint="eastAsia" w:ascii="宋体" w:hAnsi="宋体" w:eastAsia="宋体"/>
          <w:sz w:val="21"/>
          <w:szCs w:val="21"/>
        </w:rPr>
        <w:t xml:space="preserve">号</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sz w:val="21"/>
          <w:szCs w:val="21"/>
        </w:rPr>
        <w:t xml:space="preserve">李建明</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35393788"/>
      <w:r/>
      <w:bookmarkStart w:id="37" w:name="_Toc28359000"/>
      <w:r/>
      <w:bookmarkStart w:id="38" w:name="_Toc28359077"/>
      <w:r>
        <w:rPr>
          <w:rFonts w:ascii="宋体" w:hAnsi="宋体" w:eastAsia="宋体"/>
          <w:sz w:val="21"/>
          <w:szCs w:val="21"/>
        </w:rPr>
        <w:t xml:space="preserve">0512-</w:t>
      </w:r>
      <w:r>
        <w:rPr>
          <w:rFonts w:hint="eastAsia" w:ascii="宋体" w:hAnsi="宋体" w:eastAsia="宋体"/>
          <w:sz w:val="21"/>
          <w:szCs w:val="21"/>
        </w:rPr>
        <w:t xml:space="preserve">65250023</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844"/>
        <w:ind w:firstLine="420"/>
        <w:spacing w:line="360" w:lineRule="auto"/>
        <w:rPr>
          <w:rFonts w:hint="eastAsia" w:ascii="宋体" w:hAnsi="宋体" w:eastAsia="宋体"/>
          <w:color w:val="000000"/>
          <w:sz w:val="21"/>
          <w:szCs w:val="21"/>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ind w:firstLine="420"/>
        <w:jc w:val="left"/>
        <w:spacing w:line="360" w:lineRule="auto"/>
        <w:rPr>
          <w:rFonts w:ascii="宋体" w:hAnsi="宋体" w:eastAsia="宋体"/>
          <w:sz w:val="21"/>
          <w:szCs w:val="21"/>
          <w:u w:val="single"/>
        </w:rPr>
      </w:pPr>
      <w:r>
        <w:rPr>
          <w:rFonts w:hint="eastAsia" w:ascii="宋体" w:hAnsi="宋体" w:eastAsia="宋体"/>
          <w:color w:val="000000"/>
          <w:sz w:val="21"/>
          <w:szCs w:val="21"/>
        </w:rPr>
      </w:r>
      <w:r>
        <w:rPr>
          <w:rFonts w:hint="eastAsia" w:ascii="宋体" w:hAnsi="宋体" w:eastAsia="宋体"/>
          <w:color w:val="000000"/>
          <w:sz w:val="21"/>
          <w:szCs w:val="21"/>
        </w:rPr>
        <w:t xml:space="preserve">电    话：0512-65981596-8123</w:t>
      </w:r>
      <w:r>
        <w:rPr>
          <w:rFonts w:ascii="宋体" w:hAnsi="宋体" w:eastAsia="宋体"/>
          <w:sz w:val="24"/>
          <w:szCs w:val="24"/>
        </w:rPr>
        <w:br w:type="page" w:clear="all"/>
      </w:r>
      <w:r>
        <w:rPr>
          <w:rFonts w:ascii="宋体" w:hAnsi="宋体" w:eastAsia="宋体"/>
          <w:sz w:val="21"/>
          <w:szCs w:val="21"/>
          <w:u w:val="single"/>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5"/>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863"/>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863"/>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863"/>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844"/>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863"/>
        <w:ind w:firstLine="0"/>
        <w:spacing w:line="360" w:lineRule="auto"/>
        <w:rPr>
          <w:rFonts w:ascii="宋体" w:hAnsi="宋体" w:eastAsia="宋体"/>
          <w:szCs w:val="24"/>
        </w:rPr>
      </w:pPr>
      <w:r>
        <w:rPr>
          <w:rFonts w:ascii="宋体" w:hAnsi="宋体" w:eastAsia="宋体"/>
          <w:szCs w:val="24"/>
        </w:rPr>
      </w:r>
      <w:r/>
    </w:p>
    <w:p>
      <w:pPr>
        <w:pStyle w:val="863"/>
        <w:ind w:firstLine="0"/>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876"/>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876"/>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961"/>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w:t>
      </w:r>
      <w:r>
        <w:rPr>
          <w:rFonts w:hint="eastAsia" w:hAnsi="宋体" w:eastAsia="宋体"/>
          <w:sz w:val="24"/>
          <w:szCs w:val="24"/>
        </w:rPr>
        <w:t xml:space="preserve">要求，提供完成该项目的全部内容，我们的报价包括完成本项目所有服务内容、成本、人工、餐费、住宿、管理、代理服务费、保险、利润、税金、政策性文件规定及合同包含的所有风险、责任等各项应有费用。</w:t>
      </w:r>
      <w:r>
        <w:rPr>
          <w:rFonts w:hAnsi="宋体" w:eastAsia="宋体"/>
          <w:sz w:val="24"/>
          <w:szCs w:val="24"/>
        </w:rPr>
      </w:r>
      <w:r/>
    </w:p>
    <w:p>
      <w:pPr>
        <w:pStyle w:val="961"/>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61"/>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5、我们愿意提供磋商</w:t>
      </w:r>
      <w:r>
        <w:rPr>
          <w:rFonts w:hint="eastAsia" w:hAnsi="宋体" w:eastAsia="宋体"/>
          <w:sz w:val="24"/>
          <w:szCs w:val="24"/>
        </w:rPr>
        <w:t xml:space="preserve">采购单位在采购文件中要求的所有资料。</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961"/>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961"/>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w:t>
      </w:r>
      <w:r>
        <w:rPr>
          <w:rFonts w:hint="eastAsia" w:hAnsi="宋体" w:eastAsia="宋体"/>
          <w:sz w:val="24"/>
          <w:szCs w:val="24"/>
        </w:rPr>
        <w:t xml:space="preserve">取成交通知书时按采购文件的规定支付代理服务费；</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r>
      <w:r/>
    </w:p>
    <w:p>
      <w:pPr>
        <w:pStyle w:val="961"/>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1"/>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left="3400" w:firstLine="425"/>
        <w:spacing w:line="276" w:lineRule="auto"/>
        <w:rPr>
          <w:rFonts w:hAnsi="宋体" w:eastAsia="宋体"/>
          <w:sz w:val="24"/>
          <w:szCs w:val="24"/>
        </w:rPr>
      </w:pPr>
      <w:r>
        <w:rPr>
          <w:rFonts w:hint="eastAsia" w:hAnsi="宋体" w:eastAsia="宋体"/>
          <w:sz w:val="24"/>
          <w:szCs w:val="24"/>
        </w:rPr>
        <w:t xml:space="preserve">日期：       </w:t>
      </w:r>
      <w:r>
        <w:rPr>
          <w:rFonts w:hint="eastAsia" w:hAnsi="宋体" w:eastAsia="宋体"/>
          <w:sz w:val="24"/>
          <w:szCs w:val="24"/>
        </w:rPr>
        <w:t xml:space="preserve">  年   月   日</w:t>
      </w:r>
      <w:r>
        <w:rPr>
          <w:rFonts w:hAnsi="宋体" w:eastAsia="宋体"/>
          <w:sz w:val="24"/>
          <w:szCs w:val="24"/>
        </w:rPr>
      </w:r>
      <w:r/>
    </w:p>
    <w:p>
      <w:pPr>
        <w:pStyle w:val="863"/>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876"/>
        <w:jc w:val="center"/>
        <w:spacing w:line="360" w:lineRule="auto"/>
        <w:rPr>
          <w:rFonts w:hAnsi="宋体" w:eastAsia="宋体"/>
          <w:b/>
          <w:sz w:val="24"/>
          <w:szCs w:val="24"/>
        </w:rPr>
      </w:pPr>
      <w:r>
        <w:rPr>
          <w:rFonts w:hAnsi="宋体" w:eastAsia="宋体"/>
          <w:b/>
          <w:sz w:val="24"/>
          <w:szCs w:val="24"/>
        </w:rPr>
      </w:r>
      <w:r/>
    </w:p>
    <w:p>
      <w:pPr>
        <w:pStyle w:val="844"/>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1008"/>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1008"/>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1008"/>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4"/>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4"/>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4"/>
              <w:jc w:val="center"/>
              <w:widowControl/>
              <w:rPr>
                <w:rFonts w:ascii="宋体" w:hAnsi="宋体" w:eastAsia="宋体"/>
                <w:sz w:val="24"/>
                <w:szCs w:val="24"/>
              </w:rPr>
            </w:pPr>
            <w:r/>
            <w:bookmarkStart w:id="41" w:name="XMMC"/>
            <w:r/>
            <w:bookmarkEnd w:id="41"/>
            <w:r>
              <w:rPr>
                <w:rFonts w:ascii="宋体" w:hAnsi="宋体" w:eastAsia="宋体"/>
                <w:sz w:val="24"/>
                <w:szCs w:val="24"/>
              </w:rPr>
              <w:t xml:space="preserve">第二十五届江苏农业国际合作洽谈会</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4"/>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4"/>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4"/>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844"/>
        <w:jc w:val="center"/>
        <w:spacing w:line="360" w:lineRule="auto"/>
        <w:rPr>
          <w:rFonts w:ascii="宋体" w:hAnsi="宋体" w:eastAsia="宋体"/>
          <w:b/>
          <w:sz w:val="24"/>
          <w:szCs w:val="24"/>
        </w:rPr>
      </w:pPr>
      <w:r>
        <w:rPr>
          <w:rFonts w:ascii="宋体" w:hAnsi="宋体" w:eastAsia="宋体"/>
          <w:b/>
          <w:sz w:val="24"/>
          <w:szCs w:val="24"/>
        </w:rPr>
      </w:r>
      <w:r/>
    </w:p>
    <w:p>
      <w:pPr>
        <w:pStyle w:val="844"/>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844"/>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844"/>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863"/>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945"/>
        <w:ind w:firstLine="0"/>
        <w:jc w:val="center"/>
        <w:rPr>
          <w:b/>
          <w:lang w:val="zh-CN"/>
        </w:rPr>
      </w:pPr>
      <w:r>
        <w:rPr>
          <w:rFonts w:hint="eastAsia"/>
          <w:b/>
        </w:rPr>
        <w:t xml:space="preserve">磋商报价分析表</w:t>
      </w:r>
      <w:r>
        <w:rPr>
          <w:b/>
          <w:lang w:val="zh-CN"/>
        </w:rPr>
      </w:r>
      <w:r/>
    </w:p>
    <w:tbl>
      <w:tblPr>
        <w:tblW w:w="939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3036"/>
        <w:gridCol w:w="1364"/>
        <w:gridCol w:w="1364"/>
        <w:gridCol w:w="1517"/>
        <w:gridCol w:w="1408"/>
      </w:tblGrid>
      <w:tr>
        <w:trPr>
          <w:trHeight w:val="534"/>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b/>
                <w:sz w:val="21"/>
                <w:szCs w:val="21"/>
              </w:rPr>
            </w:pPr>
            <w:r>
              <w:rPr>
                <w:rFonts w:hint="eastAsia" w:ascii="宋体" w:hAnsi="宋体" w:eastAsia="宋体"/>
                <w:b/>
                <w:sz w:val="21"/>
                <w:szCs w:val="21"/>
              </w:rPr>
              <w:t xml:space="preserve">条目</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b/>
                <w:sz w:val="21"/>
                <w:szCs w:val="21"/>
              </w:rPr>
            </w:pPr>
            <w:r>
              <w:rPr>
                <w:rFonts w:hint="eastAsia" w:ascii="宋体" w:hAnsi="宋体" w:eastAsia="宋体"/>
                <w:b/>
                <w:sz w:val="21"/>
                <w:szCs w:val="21"/>
              </w:rPr>
              <w:t xml:space="preserve">数量</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b/>
                <w:sz w:val="21"/>
                <w:szCs w:val="21"/>
              </w:rPr>
            </w:pPr>
            <w:r>
              <w:rPr>
                <w:rFonts w:hint="eastAsia" w:ascii="宋体" w:hAnsi="宋体" w:eastAsia="宋体"/>
                <w:b/>
                <w:sz w:val="21"/>
                <w:szCs w:val="21"/>
              </w:rPr>
              <w:t xml:space="preserve">单价（元）</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jc w:val="center"/>
              <w:spacing w:line="400" w:lineRule="exact"/>
              <w:rPr>
                <w:rFonts w:ascii="宋体" w:hAnsi="宋体" w:eastAsia="宋体"/>
                <w:b/>
                <w:sz w:val="21"/>
                <w:szCs w:val="21"/>
              </w:rPr>
            </w:pPr>
            <w:r>
              <w:rPr>
                <w:rFonts w:hint="eastAsia" w:ascii="宋体" w:hAnsi="宋体" w:eastAsia="宋体"/>
                <w:b/>
                <w:sz w:val="21"/>
                <w:szCs w:val="21"/>
              </w:rPr>
              <w:t xml:space="preserve">总价（元）</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b/>
                <w:sz w:val="21"/>
                <w:szCs w:val="21"/>
              </w:rPr>
            </w:pPr>
            <w:r>
              <w:rPr>
                <w:rFonts w:hint="eastAsia" w:ascii="宋体" w:hAnsi="宋体" w:eastAsia="宋体"/>
                <w:b/>
                <w:sz w:val="21"/>
                <w:szCs w:val="21"/>
              </w:rPr>
              <w:t xml:space="preserve">备注</w:t>
            </w:r>
            <w:r>
              <w:rPr>
                <w:rFonts w:ascii="宋体" w:hAnsi="宋体" w:eastAsia="宋体"/>
                <w:b/>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0"/>
              <w:ind w:left="6000"/>
              <w:spacing w:line="400" w:lineRule="exact"/>
              <w:rPr>
                <w:rFonts w:eastAsia="宋体"/>
                <w:sz w:val="21"/>
                <w:szCs w:val="21"/>
              </w:rPr>
            </w:pPr>
            <w:r>
              <w:rPr>
                <w:rFonts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0"/>
              <w:ind w:left="6000"/>
              <w:spacing w:line="400" w:lineRule="exact"/>
              <w:rPr>
                <w:rFonts w:eastAsia="宋体"/>
                <w:sz w:val="21"/>
                <w:szCs w:val="21"/>
              </w:rPr>
            </w:pPr>
            <w:r>
              <w:rPr>
                <w:rFonts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top"/>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44"/>
              <w:spacing w:line="40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44"/>
              <w:jc w:val="center"/>
              <w:spacing w:line="400" w:lineRule="exact"/>
              <w:rPr>
                <w:rFonts w:ascii="宋体" w:hAnsi="宋体" w:eastAsia="宋体"/>
                <w:sz w:val="21"/>
                <w:szCs w:val="21"/>
              </w:rPr>
            </w:pPr>
            <w:r>
              <w:rPr>
                <w:rFonts w:ascii="宋体" w:hAnsi="宋体" w:eastAsia="宋体"/>
                <w:sz w:val="21"/>
                <w:szCs w:val="21"/>
              </w:rPr>
            </w:r>
            <w:r/>
          </w:p>
        </w:tc>
      </w:tr>
      <w:tr>
        <w:trPr>
          <w:trHeight w:val="727"/>
        </w:trPr>
        <w:tc>
          <w:tcPr>
            <w:gridSpan w:val="6"/>
            <w:tcBorders>
              <w:top w:val="single" w:color="000000" w:sz="4" w:space="0"/>
              <w:left w:val="single" w:color="000000" w:sz="4" w:space="0"/>
              <w:bottom w:val="single" w:color="000000" w:sz="4" w:space="0"/>
              <w:right w:val="single" w:color="000000" w:sz="4" w:space="0"/>
            </w:tcBorders>
            <w:tcW w:w="9390" w:type="dxa"/>
            <w:vAlign w:val="center"/>
            <w:textDirection w:val="lrTb"/>
            <w:noWrap w:val="false"/>
          </w:tcPr>
          <w:p>
            <w:pPr>
              <w:pStyle w:val="844"/>
              <w:spacing w:line="400" w:lineRule="exact"/>
              <w:rPr>
                <w:rFonts w:ascii="宋体" w:hAnsi="宋体" w:eastAsia="宋体"/>
                <w:sz w:val="21"/>
                <w:szCs w:val="21"/>
              </w:rPr>
            </w:pPr>
            <w:r>
              <w:rPr>
                <w:rFonts w:hint="eastAsia" w:ascii="宋体" w:hAnsi="宋体" w:eastAsia="宋体"/>
                <w:b/>
                <w:sz w:val="21"/>
                <w:szCs w:val="21"/>
              </w:rPr>
              <w:t xml:space="preserve">合计 </w:t>
            </w:r>
            <w:r>
              <w:rPr>
                <w:rFonts w:ascii="宋体" w:hAnsi="宋体" w:eastAsia="宋体"/>
                <w:sz w:val="21"/>
                <w:szCs w:val="21"/>
              </w:rPr>
            </w:r>
            <w:r/>
          </w:p>
        </w:tc>
      </w:tr>
    </w:tbl>
    <w:p>
      <w:pPr>
        <w:pStyle w:val="950"/>
        <w:rPr>
          <w:rFonts w:ascii="宋体" w:hAnsi="宋体"/>
        </w:rPr>
      </w:pPr>
      <w:r>
        <w:rPr>
          <w:rFonts w:ascii="宋体" w:hAnsi="宋体"/>
        </w:rPr>
      </w:r>
      <w:r/>
    </w:p>
    <w:p>
      <w:pPr>
        <w:pStyle w:val="950"/>
        <w:rPr>
          <w:rFonts w:ascii="宋体" w:hAnsi="宋体"/>
        </w:rPr>
      </w:pPr>
      <w:r>
        <w:rPr>
          <w:rFonts w:hint="eastAsia" w:ascii="宋体" w:hAnsi="宋体"/>
        </w:rPr>
        <w:t xml:space="preserve">注：此表“合计金额”与开标一览表金额一致，否则以开标一览表为准。</w:t>
      </w:r>
      <w:r>
        <w:rPr>
          <w:rFonts w:ascii="宋体" w:hAnsi="宋体"/>
        </w:rPr>
      </w:r>
      <w:r/>
    </w:p>
    <w:p>
      <w:pPr>
        <w:pStyle w:val="950"/>
        <w:rPr>
          <w:rFonts w:ascii="宋体" w:hAnsi="宋体"/>
        </w:rPr>
      </w:pPr>
      <w:r>
        <w:rPr>
          <w:rFonts w:ascii="宋体" w:hAnsi="宋体"/>
        </w:rPr>
      </w:r>
      <w:r/>
    </w:p>
    <w:p>
      <w:pPr>
        <w:pStyle w:val="961"/>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911"/>
        <w:ind w:left="0" w:firstLine="482"/>
        <w:spacing w:line="240" w:lineRule="auto"/>
        <w:rPr>
          <w:rFonts w:ascii="宋体" w:hAnsi="宋体" w:eastAsia="宋体" w:cs="宋体"/>
          <w:b/>
          <w:bCs/>
        </w:rPr>
      </w:pPr>
      <w:r>
        <w:rPr>
          <w:rFonts w:ascii="宋体" w:hAnsi="宋体" w:eastAsia="宋体" w:cs="宋体"/>
          <w:b/>
          <w:bCs/>
        </w:rPr>
      </w:r>
      <w:r/>
    </w:p>
    <w:p>
      <w:pPr>
        <w:pStyle w:val="844"/>
        <w:spacing w:line="360" w:lineRule="auto"/>
        <w:rPr>
          <w:rFonts w:ascii="宋体" w:hAnsi="宋体" w:eastAsia="宋体"/>
          <w:sz w:val="24"/>
          <w:szCs w:val="24"/>
        </w:rPr>
      </w:pPr>
      <w:r>
        <w:rPr>
          <w:rFonts w:ascii="宋体" w:hAnsi="宋体" w:eastAsia="宋体"/>
          <w:sz w:val="24"/>
          <w:szCs w:val="24"/>
        </w:rPr>
      </w:r>
      <w:r/>
    </w:p>
    <w:p>
      <w:pPr>
        <w:pStyle w:val="863"/>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863"/>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844"/>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bl>
    <w:p>
      <w:pPr>
        <w:pStyle w:val="844"/>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w:t>
      </w:r>
      <w:r>
        <w:rPr>
          <w:rFonts w:hint="eastAsia" w:ascii="宋体" w:hAnsi="宋体" w:eastAsia="宋体"/>
          <w:bCs/>
          <w:sz w:val="24"/>
          <w:szCs w:val="24"/>
        </w:rPr>
        <w:t xml:space="preserve">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844"/>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863"/>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863"/>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844"/>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bl>
    <w:p>
      <w:pPr>
        <w:pStyle w:val="950"/>
        <w:rPr>
          <w:rFonts w:ascii="宋体" w:hAnsi="宋体"/>
        </w:rPr>
      </w:pPr>
      <w:r>
        <w:rPr>
          <w:rFonts w:hint="eastAsia" w:ascii="宋体" w:hAnsi="宋体"/>
        </w:rPr>
        <w:t xml:space="preserve">注：1、响应人应对照采购文件服务要求等要求，所投标的物</w:t>
      </w:r>
      <w:r>
        <w:rPr>
          <w:rFonts w:hint="eastAsia" w:ascii="宋体" w:hAnsi="宋体"/>
        </w:rPr>
        <w:t xml:space="preserve">与采购文件的规定有偏离的，应在此表中申明与设计要求条文的偏差和例外。</w:t>
      </w:r>
      <w:r>
        <w:rPr>
          <w:rFonts w:ascii="宋体" w:hAnsi="宋体"/>
        </w:rPr>
      </w:r>
      <w:r/>
    </w:p>
    <w:p>
      <w:pPr>
        <w:pStyle w:val="950"/>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844"/>
        <w:spacing w:line="360" w:lineRule="auto"/>
        <w:rPr>
          <w:rFonts w:ascii="宋体" w:hAnsi="宋体" w:eastAsia="宋体"/>
          <w:sz w:val="24"/>
          <w:szCs w:val="24"/>
        </w:rPr>
      </w:pPr>
      <w:r>
        <w:rPr>
          <w:rFonts w:ascii="宋体"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863"/>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876"/>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844"/>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844"/>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4"/>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44"/>
        <w:ind w:firstLine="480"/>
        <w:spacing w:line="360" w:lineRule="auto"/>
        <w:rPr>
          <w:rFonts w:ascii="宋体" w:hAnsi="宋体" w:eastAsia="宋体"/>
          <w:sz w:val="24"/>
          <w:szCs w:val="24"/>
        </w:rPr>
      </w:pPr>
      <w:r>
        <w:rPr>
          <w:rFonts w:ascii="宋体" w:hAnsi="宋体" w:eastAsia="宋体"/>
          <w:sz w:val="24"/>
          <w:szCs w:val="24"/>
        </w:rPr>
      </w:r>
      <w:r/>
    </w:p>
    <w:p>
      <w:pPr>
        <w:pStyle w:val="961"/>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1"/>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57"/>
        <w:rPr>
          <w:rFonts w:hint="eastAsia"/>
        </w:rPr>
      </w:pPr>
      <w:r>
        <w:rPr>
          <w:rFonts w:hint="eastAsia"/>
        </w:rPr>
      </w:r>
      <w:r/>
    </w:p>
    <w:p>
      <w:pPr>
        <w:pStyle w:val="846"/>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844"/>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1243"/>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合同名称</w:t>
            </w:r>
            <w:r>
              <w:rPr>
                <w:rFonts w:ascii="宋体" w:hAnsi="宋体" w:eastAsia="宋体"/>
                <w:sz w:val="24"/>
                <w:szCs w:val="24"/>
              </w:rPr>
            </w:r>
            <w:r/>
          </w:p>
        </w:tc>
        <w:tc>
          <w:tcPr>
            <w:tcW w:w="1787" w:type="dxa"/>
            <w:vAlign w:val="center"/>
            <w:textDirection w:val="lrTb"/>
            <w:noWrap w:val="false"/>
          </w:tcPr>
          <w:p>
            <w:pPr>
              <w:pStyle w:val="844"/>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787" w:type="dxa"/>
            <w:vAlign w:val="center"/>
            <w:textDirection w:val="lrTb"/>
            <w:noWrap w:val="false"/>
          </w:tcPr>
          <w:p>
            <w:pPr>
              <w:pStyle w:val="844"/>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2085" w:type="dxa"/>
            <w:vAlign w:val="center"/>
            <w:textDirection w:val="lrTb"/>
            <w:noWrap w:val="false"/>
          </w:tcPr>
          <w:p>
            <w:pPr>
              <w:pStyle w:val="844"/>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tc>
        <w:tc>
          <w:tcPr>
            <w:tcW w:w="1425" w:type="dxa"/>
            <w:vAlign w:val="center"/>
            <w:textDirection w:val="lrTb"/>
            <w:noWrap w:val="false"/>
          </w:tcPr>
          <w:p>
            <w:pPr>
              <w:pStyle w:val="844"/>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tc>
        <w:tc>
          <w:tcPr>
            <w:tcW w:w="1957"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bl>
    <w:p>
      <w:pPr>
        <w:pStyle w:val="844"/>
        <w:spacing w:before="120" w:line="360" w:lineRule="auto"/>
        <w:rPr>
          <w:rFonts w:ascii="宋体" w:hAnsi="宋体" w:eastAsia="宋体"/>
          <w:sz w:val="24"/>
          <w:szCs w:val="24"/>
        </w:rPr>
      </w:pPr>
      <w:r>
        <w:rPr>
          <w:rFonts w:ascii="宋体"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846"/>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863"/>
        <w:ind w:firstLine="0"/>
        <w:jc w:val="both"/>
        <w:spacing w:line="360" w:lineRule="auto"/>
        <w:rPr>
          <w:rFonts w:ascii="宋体" w:hAnsi="宋体" w:eastAsia="宋体"/>
          <w:b/>
          <w:szCs w:val="24"/>
        </w:rPr>
      </w:pPr>
      <w:r>
        <w:rPr>
          <w:rFonts w:ascii="宋体" w:hAnsi="宋体" w:eastAsia="宋体"/>
          <w:b/>
          <w:szCs w:val="24"/>
        </w:rPr>
      </w:r>
      <w:r/>
    </w:p>
    <w:p>
      <w:pPr>
        <w:pStyle w:val="863"/>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863"/>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863"/>
        <w:spacing w:line="360" w:lineRule="auto"/>
        <w:rPr>
          <w:rFonts w:ascii="宋体" w:hAnsi="宋体" w:eastAsia="宋体"/>
          <w:szCs w:val="24"/>
        </w:rPr>
      </w:pPr>
      <w:r>
        <w:rPr>
          <w:rFonts w:ascii="宋体" w:hAnsi="宋体" w:eastAsia="宋体"/>
          <w:szCs w:val="24"/>
        </w:rPr>
      </w:r>
      <w:r/>
    </w:p>
    <w:p>
      <w:pPr>
        <w:pStyle w:val="863"/>
        <w:spacing w:line="360" w:lineRule="auto"/>
        <w:rPr>
          <w:rFonts w:ascii="宋体" w:hAnsi="宋体" w:eastAsia="宋体"/>
          <w:szCs w:val="24"/>
        </w:rPr>
      </w:pPr>
      <w:r>
        <w:rPr>
          <w:rFonts w:ascii="宋体" w:hAnsi="宋体" w:eastAsia="宋体"/>
          <w:szCs w:val="24"/>
        </w:rPr>
      </w:r>
      <w:r/>
    </w:p>
    <w:p>
      <w:pPr>
        <w:pStyle w:val="961"/>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1"/>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63"/>
        <w:ind w:left="3507" w:firstLine="1145"/>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863"/>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863"/>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863"/>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4年         万元</w:t>
            </w: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4年   万元</w:t>
            </w: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863"/>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ascii="宋体" w:hAnsi="宋体" w:eastAsia="宋体"/>
                <w:szCs w:val="24"/>
              </w:rPr>
            </w:r>
            <w:r/>
          </w:p>
          <w:p>
            <w:pPr>
              <w:pStyle w:val="863"/>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863"/>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ascii="宋体" w:hAnsi="宋体" w:eastAsia="宋体"/>
                <w:szCs w:val="24"/>
              </w:rPr>
            </w:r>
            <w:r/>
          </w:p>
          <w:p>
            <w:pPr>
              <w:pStyle w:val="863"/>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863"/>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bl>
    <w:p>
      <w:pPr>
        <w:pStyle w:val="863"/>
        <w:ind w:firstLine="0"/>
        <w:spacing w:line="360" w:lineRule="auto"/>
        <w:rPr>
          <w:rFonts w:ascii="宋体" w:hAnsi="宋体" w:eastAsia="宋体"/>
          <w:szCs w:val="24"/>
        </w:rPr>
      </w:pPr>
      <w:r>
        <w:rPr>
          <w:rFonts w:ascii="宋体" w:hAnsi="宋体" w:eastAsia="宋体"/>
          <w:szCs w:val="24"/>
        </w:rPr>
      </w:r>
      <w:r/>
    </w:p>
    <w:p>
      <w:pPr>
        <w:pStyle w:val="863"/>
        <w:ind w:firstLine="0"/>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844"/>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44"/>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844"/>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3"/>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983"/>
        <w:spacing w:line="360" w:lineRule="auto"/>
        <w:rPr>
          <w:rFonts w:hAnsi="宋体" w:eastAsia="宋体" w:cs="宋体"/>
          <w:sz w:val="24"/>
          <w:szCs w:val="24"/>
          <w:lang w:val="zh-CN"/>
        </w:rPr>
      </w:pP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w:t>
      </w:r>
      <w:r>
        <w:rPr>
          <w:rFonts w:hint="eastAsia" w:hAnsi="宋体" w:eastAsia="宋体" w:cs="宋体"/>
          <w:sz w:val="24"/>
          <w:szCs w:val="24"/>
          <w:u w:val="single"/>
          <w:lang w:val="zh-CN"/>
        </w:rPr>
        <w:t xml:space="preserve">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84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3"/>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83"/>
        <w:spacing w:line="360" w:lineRule="auto"/>
        <w:rPr>
          <w:rFonts w:hAnsi="宋体" w:eastAsia="宋体"/>
          <w:sz w:val="24"/>
          <w:szCs w:val="24"/>
        </w:rPr>
      </w:pPr>
      <w:r>
        <w:rPr>
          <w:rFonts w:hAnsi="宋体" w:eastAsia="宋体"/>
          <w:sz w:val="24"/>
          <w:szCs w:val="24"/>
        </w:rPr>
        <w:t xml:space="preserve">法定代表人或代理人：（签字或盖章）</w:t>
      </w:r>
      <w:r/>
    </w:p>
    <w:p>
      <w:pPr>
        <w:pStyle w:val="844"/>
        <w:spacing w:line="360" w:lineRule="auto"/>
        <w:rPr>
          <w:rFonts w:ascii="宋体" w:hAnsi="宋体" w:eastAsia="宋体"/>
          <w:sz w:val="24"/>
          <w:szCs w:val="24"/>
        </w:rPr>
      </w:pPr>
      <w:r>
        <w:rPr>
          <w:rFonts w:ascii="宋体" w:hAnsi="宋体" w:eastAsia="宋体"/>
          <w:sz w:val="24"/>
          <w:szCs w:val="24"/>
        </w:rPr>
        <w:t xml:space="preserve">日期：      年    月    日</w:t>
      </w:r>
      <w:r/>
    </w:p>
    <w:p>
      <w:pPr>
        <w:pStyle w:val="847"/>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8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905"/>
        <w:ind w:firstLine="480"/>
        <w:spacing w:before="0" w:beforeAutospacing="0" w:after="0" w:afterAutospacing="0" w:line="360" w:lineRule="auto"/>
        <w:rPr>
          <w:rFonts w:hint="eastAsia"/>
        </w:rPr>
      </w:pPr>
      <w:r>
        <w:rPr>
          <w:rFonts w:hint="eastAsia"/>
        </w:rPr>
      </w:r>
      <w:r/>
    </w:p>
    <w:p>
      <w:pPr>
        <w:pStyle w:val="905"/>
        <w:ind w:firstLine="480"/>
        <w:spacing w:before="0" w:beforeAutospacing="0" w:after="0" w:afterAutospacing="0" w:line="360" w:lineRule="auto"/>
        <w:rPr>
          <w:rFonts w:hint="eastAsia"/>
        </w:rPr>
      </w:pPr>
      <w:r>
        <w:rPr>
          <w:rFonts w:hint="eastAsia"/>
        </w:rPr>
        <w:t xml:space="preserve">本单位郑重声明，根据《财政部</w:t>
      </w:r>
      <w:r>
        <w:rPr>
          <w:rFonts w:hint="eastAsia"/>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5"/>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905"/>
        <w:ind w:firstLine="480"/>
        <w:spacing w:before="0" w:beforeAutospacing="0" w:after="0" w:afterAutospacing="0" w:line="360" w:lineRule="auto"/>
        <w:rPr>
          <w:rFonts w:hint="eastAsia"/>
        </w:rPr>
      </w:pPr>
      <w:r>
        <w:rPr>
          <w:rFonts w:hint="eastAsia"/>
        </w:rPr>
      </w:r>
      <w:r/>
    </w:p>
    <w:p>
      <w:pPr>
        <w:pStyle w:val="905"/>
        <w:ind w:firstLine="480"/>
        <w:spacing w:before="0" w:beforeAutospacing="0" w:after="0" w:afterAutospacing="0" w:line="360" w:lineRule="auto"/>
        <w:rPr>
          <w:rFonts w:hint="eastAsia"/>
        </w:rPr>
      </w:pPr>
      <w:r>
        <w:rPr>
          <w:rFonts w:hint="eastAsia"/>
        </w:rPr>
      </w:r>
      <w:r/>
    </w:p>
    <w:p>
      <w:pPr>
        <w:pStyle w:val="905"/>
        <w:ind w:firstLine="480"/>
        <w:spacing w:before="0" w:beforeAutospacing="0" w:after="0" w:afterAutospacing="0" w:line="360" w:lineRule="auto"/>
        <w:rPr>
          <w:rFonts w:hint="eastAsia"/>
        </w:rPr>
      </w:pPr>
      <w:r>
        <w:rPr>
          <w:rFonts w:hint="eastAsia"/>
        </w:rPr>
        <w:t xml:space="preserve">单位名称（盖章）：</w:t>
      </w:r>
      <w:r/>
    </w:p>
    <w:p>
      <w:pPr>
        <w:pStyle w:val="905"/>
        <w:ind w:firstLine="480"/>
        <w:spacing w:before="0" w:beforeAutospacing="0" w:after="0" w:afterAutospacing="0" w:line="360" w:lineRule="auto"/>
        <w:rPr>
          <w:rFonts w:hint="eastAsia"/>
        </w:rPr>
      </w:pPr>
      <w:r>
        <w:rPr>
          <w:rFonts w:hint="eastAsia"/>
        </w:rPr>
        <w:t xml:space="preserve">日期：</w:t>
      </w:r>
      <w:r/>
    </w:p>
    <w:p>
      <w:pPr>
        <w:pStyle w:val="905"/>
        <w:ind w:firstLine="480"/>
        <w:spacing w:before="0" w:beforeAutospacing="0" w:after="0" w:afterAutospacing="0" w:line="360" w:lineRule="auto"/>
        <w:rPr>
          <w:rFonts w:hint="eastAsia"/>
        </w:rPr>
      </w:pPr>
      <w:r>
        <w:rPr>
          <w:rFonts w:hint="eastAsia"/>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6"/>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844"/>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844"/>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w:t>
      </w:r>
      <w:r>
        <w:rPr>
          <w:rFonts w:hint="eastAsia" w:ascii="宋体" w:hAnsi="宋体" w:eastAsia="宋体"/>
          <w:b/>
          <w:color w:val="000000"/>
          <w:sz w:val="24"/>
          <w:szCs w:val="24"/>
        </w:rPr>
        <w:t xml:space="preserve">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844"/>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84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844"/>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44"/>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844"/>
        <w:ind w:firstLine="422"/>
        <w:spacing w:line="360" w:lineRule="auto"/>
        <w:rPr>
          <w:rFonts w:hint="eastAsia" w:ascii="宋体" w:hAnsi="宋体" w:eastAsia="宋体"/>
          <w:b/>
          <w:color w:val="000000"/>
          <w:sz w:val="24"/>
          <w:szCs w:val="24"/>
        </w:rPr>
      </w:pPr>
      <w:r/>
      <w:bookmarkStart w:id="44" w:name="OLE_LINK21"/>
      <w:r/>
      <w:bookmarkStart w:id="45" w:name="OLE_LINK29"/>
      <w:r/>
      <w:bookmarkStart w:id="46" w:name="OLE_LINK23"/>
      <w:r/>
      <w:bookmarkStart w:id="47" w:name="OLE_LINK26"/>
      <w:r/>
      <w:bookmarkStart w:id="48" w:name="OLE_LINK30"/>
      <w:r/>
      <w:bookmarkStart w:id="49" w:name="OLE_LINK24"/>
      <w:r>
        <w:rPr>
          <w:rFonts w:hint="eastAsia" w:ascii="宋体" w:hAnsi="宋体" w:eastAsia="宋体"/>
          <w:b/>
          <w:color w:val="000000"/>
          <w:sz w:val="24"/>
          <w:szCs w:val="24"/>
          <w:lang w:val="zh-CN"/>
        </w:rPr>
        <w:t xml:space="preserve">备注:</w:t>
      </w:r>
      <w:bookmarkStart w:id="50" w:name="OLE_LINK12"/>
      <w:r>
        <w:rPr>
          <w:rFonts w:hint="eastAsia" w:ascii="宋体" w:hAnsi="宋体" w:eastAsia="宋体"/>
          <w:b/>
          <w:color w:val="000000"/>
          <w:sz w:val="24"/>
          <w:szCs w:val="24"/>
          <w:lang w:val="zh-CN"/>
        </w:rPr>
        <w:t xml:space="preserve">根据</w:t>
      </w:r>
      <w:r>
        <w:rPr>
          <w:rFonts w:hint="eastAsia" w:ascii="宋体" w:hAnsi="宋体" w:eastAsia="宋体" w:cs="宋体"/>
          <w:b/>
          <w:color w:val="000000"/>
          <w:sz w:val="24"/>
          <w:szCs w:val="24"/>
        </w:rPr>
        <w:t xml:space="preserve">采购文件第三章要求</w:t>
      </w:r>
      <w:r>
        <w:rPr>
          <w:rFonts w:hint="eastAsia" w:ascii="宋体" w:hAnsi="宋体" w:eastAsia="宋体"/>
          <w:b/>
          <w:color w:val="000000"/>
          <w:sz w:val="24"/>
          <w:szCs w:val="24"/>
          <w:lang w:val="zh-CN"/>
        </w:rPr>
        <w:t xml:space="preserve">，在评审过程中当出现响应</w:t>
      </w:r>
      <w:r>
        <w:rPr>
          <w:rFonts w:ascii="宋体" w:hAnsi="宋体" w:eastAsia="宋体"/>
          <w:b/>
          <w:color w:val="000000"/>
          <w:sz w:val="24"/>
          <w:szCs w:val="24"/>
          <w:lang w:val="zh-CN"/>
        </w:rPr>
        <w:t xml:space="preserve">报价低于采购项目预算</w:t>
      </w:r>
      <w:r>
        <w:rPr>
          <w:rFonts w:hint="eastAsia" w:ascii="宋体" w:hAnsi="宋体" w:eastAsia="宋体"/>
          <w:b/>
          <w:color w:val="000000"/>
          <w:sz w:val="24"/>
          <w:szCs w:val="24"/>
          <w:lang w:val="zh-CN"/>
        </w:rPr>
        <w:t xml:space="preserve">50%或者响应</w:t>
      </w:r>
      <w:r>
        <w:rPr>
          <w:rFonts w:ascii="宋体" w:hAnsi="宋体" w:eastAsia="宋体"/>
          <w:b/>
          <w:color w:val="000000"/>
          <w:sz w:val="24"/>
          <w:szCs w:val="24"/>
          <w:lang w:val="zh-CN"/>
        </w:rPr>
        <w:t xml:space="preserve">报价</w:t>
      </w:r>
      <w:r>
        <w:rPr>
          <w:rFonts w:hint="eastAsia" w:ascii="宋体" w:hAnsi="宋体" w:eastAsia="宋体"/>
          <w:b/>
          <w:color w:val="000000"/>
          <w:sz w:val="24"/>
          <w:szCs w:val="24"/>
          <w:lang w:val="zh-CN"/>
        </w:rPr>
        <w:t xml:space="preserve">低于</w:t>
      </w:r>
      <w:r>
        <w:rPr>
          <w:rFonts w:ascii="宋体" w:hAnsi="宋体" w:eastAsia="宋体"/>
          <w:b/>
          <w:color w:val="000000"/>
          <w:sz w:val="24"/>
          <w:szCs w:val="24"/>
          <w:lang w:val="zh-CN"/>
        </w:rPr>
        <w:t xml:space="preserve">采购项目最高</w:t>
      </w:r>
      <w:r>
        <w:rPr>
          <w:rFonts w:hint="eastAsia" w:ascii="宋体" w:hAnsi="宋体" w:eastAsia="宋体"/>
          <w:b/>
          <w:color w:val="000000"/>
          <w:sz w:val="24"/>
          <w:szCs w:val="24"/>
          <w:lang w:val="zh-CN"/>
        </w:rPr>
        <w:t xml:space="preserve">限价</w:t>
      </w:r>
      <w:r>
        <w:rPr>
          <w:rFonts w:ascii="宋体" w:hAnsi="宋体" w:eastAsia="宋体"/>
          <w:b/>
          <w:color w:val="000000"/>
          <w:sz w:val="24"/>
          <w:szCs w:val="24"/>
          <w:lang w:val="zh-CN"/>
        </w:rPr>
        <w:t xml:space="preserve">45%</w:t>
      </w:r>
      <w:bookmarkEnd w:id="50"/>
      <w:r>
        <w:rPr>
          <w:rFonts w:hint="eastAsia" w:ascii="宋体" w:hAnsi="宋体" w:eastAsia="宋体"/>
          <w:b/>
          <w:color w:val="000000"/>
          <w:sz w:val="24"/>
          <w:szCs w:val="24"/>
          <w:lang w:val="zh-CN"/>
        </w:rPr>
        <w:t xml:space="preserve">或者</w:t>
      </w:r>
      <w:bookmarkStart w:id="51" w:name="OLE_LINK25"/>
      <w:r>
        <w:rPr>
          <w:rFonts w:hint="eastAsia" w:ascii="宋体" w:hAnsi="宋体" w:eastAsia="宋体"/>
          <w:b/>
          <w:color w:val="000000"/>
          <w:sz w:val="24"/>
          <w:szCs w:val="24"/>
          <w:lang w:val="zh-CN"/>
        </w:rPr>
        <w:t xml:space="preserve">磋商小组</w:t>
      </w:r>
      <w:bookmarkEnd w:id="51"/>
      <w:r>
        <w:rPr>
          <w:rFonts w:hint="eastAsia" w:ascii="宋体" w:hAnsi="宋体" w:eastAsia="宋体"/>
          <w:b/>
          <w:color w:val="000000"/>
          <w:sz w:val="24"/>
          <w:szCs w:val="24"/>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w:t>
      </w:r>
      <w:r>
        <w:rPr>
          <w:rFonts w:hint="eastAsia" w:ascii="宋体" w:hAnsi="宋体" w:eastAsia="宋体"/>
          <w:b/>
          <w:color w:val="000000"/>
          <w:sz w:val="24"/>
          <w:szCs w:val="24"/>
          <w:lang w:val="zh-CN"/>
        </w:rPr>
        <w:t xml:space="preserve">相关的说明、材料（例如进货合同及发票、往期类似项目合同报价清单、库存清单、仓库照片等，最终以磋商小组具体要求为准）。供应商不能证明其</w:t>
      </w:r>
      <w:bookmarkStart w:id="52" w:name="OLE_LINK11"/>
      <w:r/>
      <w:bookmarkStart w:id="53" w:name="OLE_LINK6"/>
      <w:r>
        <w:rPr>
          <w:rFonts w:hint="eastAsia" w:ascii="宋体" w:hAnsi="宋体" w:eastAsia="宋体"/>
          <w:b/>
          <w:color w:val="000000"/>
          <w:sz w:val="24"/>
          <w:szCs w:val="24"/>
          <w:lang w:val="zh-CN"/>
        </w:rPr>
        <w:t xml:space="preserve">报价</w:t>
      </w:r>
      <w:bookmarkEnd w:id="52"/>
      <w:r/>
      <w:bookmarkEnd w:id="53"/>
      <w:r>
        <w:rPr>
          <w:rFonts w:hint="eastAsia" w:ascii="宋体" w:hAnsi="宋体" w:eastAsia="宋体"/>
          <w:b/>
          <w:color w:val="000000"/>
          <w:sz w:val="24"/>
          <w:szCs w:val="24"/>
          <w:lang w:val="zh-CN"/>
        </w:rPr>
        <w:t xml:space="preserve">合理性的，磋商小组应当将其作为无效响应处理。</w:t>
      </w:r>
      <w:bookmarkEnd w:id="44"/>
      <w:r/>
      <w:bookmarkEnd w:id="45"/>
      <w:r/>
      <w:bookmarkEnd w:id="46"/>
      <w:r/>
      <w:bookmarkEnd w:id="47"/>
      <w:r/>
      <w:bookmarkEnd w:id="48"/>
      <w:r/>
      <w:bookmarkEnd w:id="49"/>
      <w:r>
        <w:rPr>
          <w:rFonts w:hint="eastAsia" w:ascii="宋体" w:hAnsi="宋体" w:eastAsia="宋体"/>
          <w:b/>
          <w:color w:val="000000"/>
          <w:sz w:val="24"/>
          <w:szCs w:val="24"/>
        </w:rPr>
      </w:r>
      <w:r/>
    </w:p>
    <w:p>
      <w:pPr>
        <w:pStyle w:val="844"/>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44"/>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3"/>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83"/>
        <w:spacing w:line="360" w:lineRule="auto"/>
        <w:rPr>
          <w:rFonts w:hAnsi="宋体" w:eastAsia="宋体"/>
          <w:sz w:val="24"/>
          <w:szCs w:val="24"/>
        </w:rPr>
      </w:pPr>
      <w:r>
        <w:rPr>
          <w:rFonts w:hAnsi="宋体" w:eastAsia="宋体"/>
          <w:sz w:val="24"/>
          <w:szCs w:val="24"/>
        </w:rPr>
        <w:t xml:space="preserve">法定代表人或代理人：（签字或盖章）</w:t>
      </w:r>
      <w:r/>
    </w:p>
    <w:p>
      <w:pPr>
        <w:pStyle w:val="844"/>
        <w:spacing w:line="360" w:lineRule="auto"/>
        <w:rPr>
          <w:rFonts w:ascii="宋体" w:hAnsi="宋体" w:eastAsia="宋体"/>
          <w:sz w:val="24"/>
          <w:szCs w:val="24"/>
        </w:rPr>
      </w:pPr>
      <w:r>
        <w:rPr>
          <w:rFonts w:ascii="宋体" w:hAnsi="宋体" w:eastAsia="宋体"/>
          <w:sz w:val="24"/>
          <w:szCs w:val="24"/>
        </w:rPr>
        <w:t xml:space="preserve">日期：      年    月    日</w:t>
      </w:r>
      <w:r/>
    </w:p>
    <w:p>
      <w:pPr>
        <w:pStyle w:val="844"/>
        <w:ind w:right="-200"/>
        <w:jc w:val="center"/>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5"/>
        <w:jc w:val="center"/>
        <w:spacing w:line="360" w:lineRule="auto"/>
        <w:rPr>
          <w:rFonts w:ascii="宋体" w:hAnsi="宋体" w:eastAsia="宋体"/>
          <w:sz w:val="52"/>
          <w:szCs w:val="52"/>
        </w:rPr>
      </w:pPr>
      <w:r/>
      <w:bookmarkStart w:id="54" w:name="_Toc13642115"/>
      <w:r/>
      <w:bookmarkStart w:id="55" w:name="_Toc4590"/>
      <w:r>
        <w:rPr>
          <w:rFonts w:hint="eastAsia" w:ascii="宋体" w:hAnsi="宋体" w:eastAsia="宋体"/>
          <w:sz w:val="52"/>
          <w:szCs w:val="52"/>
        </w:rPr>
        <w:t xml:space="preserve">第三章 </w:t>
      </w:r>
      <w:bookmarkEnd w:id="54"/>
      <w:r>
        <w:rPr>
          <w:rFonts w:hint="eastAsia" w:ascii="宋体" w:hAnsi="宋体" w:eastAsia="宋体"/>
          <w:sz w:val="52"/>
          <w:szCs w:val="52"/>
        </w:rPr>
        <w:t xml:space="preserve">采购内容</w:t>
      </w:r>
      <w:bookmarkEnd w:id="55"/>
      <w:r>
        <w:rPr>
          <w:rFonts w:ascii="宋体" w:hAnsi="宋体" w:eastAsia="宋体"/>
          <w:sz w:val="52"/>
          <w:szCs w:val="52"/>
        </w:rPr>
      </w:r>
      <w:r/>
    </w:p>
    <w:p>
      <w:pPr>
        <w:pStyle w:val="844"/>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844"/>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苏州鸿鑫工程咨询有限公司受苏州市农业农村局的委托，就</w:t>
      </w:r>
      <w:r>
        <w:rPr>
          <w:rFonts w:hint="eastAsia" w:ascii="宋体" w:hAnsi="宋体" w:eastAsia="宋体" w:cs="宋体"/>
          <w:sz w:val="21"/>
          <w:szCs w:val="21"/>
        </w:rPr>
        <w:t xml:space="preserve">其所需的第二十五届江苏农业国际合作洽谈会项目采用竞争性磋商方式进行采购，欢迎有资格的供应商前来参加本次磋商采购活动。</w:t>
      </w:r>
      <w:r>
        <w:rPr>
          <w:rFonts w:ascii="宋体" w:hAnsi="宋体" w:eastAsia="宋体" w:cs="宋体"/>
          <w:sz w:val="21"/>
          <w:szCs w:val="21"/>
        </w:rPr>
      </w:r>
      <w:r/>
    </w:p>
    <w:p>
      <w:pPr>
        <w:pStyle w:val="844"/>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一、采购编号：JSZC-320500-SZHX-C2025-0055</w:t>
      </w:r>
      <w:r/>
    </w:p>
    <w:p>
      <w:pPr>
        <w:pStyle w:val="844"/>
        <w:ind w:firstLine="422"/>
        <w:spacing w:line="360" w:lineRule="auto"/>
        <w:tabs>
          <w:tab w:val="left" w:pos="753" w:leader="none"/>
        </w:tabs>
        <w:rPr>
          <w:rFonts w:ascii="宋体" w:hAnsi="宋体" w:eastAsia="宋体"/>
          <w:b/>
          <w:sz w:val="21"/>
          <w:szCs w:val="21"/>
        </w:rPr>
        <w:outlineLvl w:val="1"/>
      </w:pPr>
      <w:r/>
      <w:bookmarkStart w:id="56" w:name="_Toc13642116"/>
      <w:r>
        <w:rPr>
          <w:rFonts w:hint="eastAsia" w:ascii="宋体" w:hAnsi="宋体" w:eastAsia="宋体"/>
          <w:b/>
          <w:sz w:val="21"/>
          <w:szCs w:val="21"/>
        </w:rPr>
        <w:t xml:space="preserve">二、项目名称：第二十五届江苏农业国际合作洽谈会</w:t>
      </w:r>
      <w:r>
        <w:rPr>
          <w:rFonts w:ascii="宋体" w:hAnsi="宋体" w:eastAsia="宋体"/>
          <w:b/>
          <w:sz w:val="21"/>
          <w:szCs w:val="21"/>
        </w:rPr>
      </w:r>
      <w:r/>
    </w:p>
    <w:p>
      <w:pPr>
        <w:pStyle w:val="844"/>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84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（一）项目背景</w:t>
      </w:r>
      <w:r/>
    </w:p>
    <w:p>
      <w:pPr>
        <w:pStyle w:val="844"/>
        <w:spacing w:line="360" w:lineRule="auto"/>
        <w:rPr>
          <w:rFonts w:hint="eastAsia" w:ascii="宋体" w:hAnsi="宋体" w:eastAsia="宋体"/>
          <w:bCs/>
          <w:sz w:val="21"/>
          <w:szCs w:val="21"/>
        </w:rPr>
      </w:pPr>
      <w:r>
        <w:rPr>
          <w:rFonts w:hint="eastAsia" w:ascii="宋体" w:hAnsi="宋体" w:eastAsia="宋体"/>
          <w:bCs/>
          <w:sz w:val="21"/>
          <w:szCs w:val="21"/>
        </w:rPr>
        <w:t xml:space="preserve">     为认真贯彻落实习近平总书记对江苏、苏州工作重要讲话重要指示精神，深化“一带一路”农业合作，培育壮大农业新质生产力，扎实推进乡村全面振兴，加快高水平农业强省建设，进一步展示苏州市农业科技发展成果，拟举办第二十五届江苏农业国际合作洽谈会。</w:t>
      </w:r>
      <w:r/>
    </w:p>
    <w:p>
      <w:pPr>
        <w:pStyle w:val="844"/>
        <w:ind w:firstLine="480"/>
        <w:spacing w:line="360" w:lineRule="auto"/>
        <w:rPr>
          <w:rFonts w:hint="eastAsia" w:ascii="宋体" w:hAnsi="宋体" w:eastAsia="宋体"/>
          <w:bCs/>
          <w:sz w:val="21"/>
          <w:szCs w:val="21"/>
        </w:rPr>
      </w:pPr>
      <w:r>
        <w:rPr>
          <w:rFonts w:hint="eastAsia" w:ascii="宋体" w:hAnsi="宋体" w:eastAsia="宋体"/>
          <w:b/>
          <w:sz w:val="21"/>
          <w:szCs w:val="21"/>
        </w:rPr>
        <w:t xml:space="preserve">（二）展会时间：</w:t>
      </w:r>
      <w:r>
        <w:rPr>
          <w:rFonts w:hint="eastAsia" w:ascii="宋体" w:hAnsi="宋体" w:eastAsia="宋体"/>
          <w:bCs/>
          <w:sz w:val="21"/>
          <w:szCs w:val="21"/>
        </w:rPr>
        <w:t xml:space="preserve">2026年4月24日～2026年4月26日</w:t>
      </w:r>
      <w:r/>
    </w:p>
    <w:p>
      <w:pPr>
        <w:pStyle w:val="844"/>
        <w:ind w:firstLine="480"/>
        <w:spacing w:line="360" w:lineRule="auto"/>
        <w:rPr>
          <w:rFonts w:hint="eastAsia" w:ascii="宋体" w:hAnsi="宋体" w:eastAsia="宋体"/>
          <w:bCs/>
          <w:sz w:val="21"/>
          <w:szCs w:val="21"/>
        </w:rPr>
      </w:pPr>
      <w:r>
        <w:rPr>
          <w:rFonts w:hint="eastAsia" w:ascii="宋体" w:hAnsi="宋体" w:eastAsia="宋体"/>
          <w:b/>
          <w:sz w:val="21"/>
          <w:szCs w:val="21"/>
        </w:rPr>
        <w:t xml:space="preserve">（三）展会地点：</w:t>
      </w:r>
      <w:r>
        <w:rPr>
          <w:rFonts w:hint="eastAsia" w:ascii="宋体" w:hAnsi="宋体" w:eastAsia="宋体"/>
          <w:bCs/>
          <w:sz w:val="21"/>
          <w:szCs w:val="21"/>
        </w:rPr>
        <w:t xml:space="preserve">苏州国际博览中心</w:t>
      </w:r>
      <w:r/>
    </w:p>
    <w:p>
      <w:pPr>
        <w:pStyle w:val="84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（四）总体要求</w:t>
      </w:r>
      <w:r/>
    </w:p>
    <w:p>
      <w:pPr>
        <w:pStyle w:val="844"/>
        <w:ind w:firstLine="480"/>
        <w:spacing w:line="360" w:lineRule="auto"/>
        <w:rPr>
          <w:rFonts w:hint="eastAsia" w:ascii="宋体" w:hAnsi="宋体" w:eastAsia="宋体"/>
          <w:bCs/>
          <w:sz w:val="21"/>
          <w:szCs w:val="21"/>
        </w:rPr>
      </w:pPr>
      <w:r>
        <w:rPr>
          <w:rFonts w:hint="eastAsia" w:ascii="宋体" w:hAnsi="宋体" w:eastAsia="宋体"/>
          <w:bCs/>
          <w:sz w:val="21"/>
          <w:szCs w:val="21"/>
        </w:rPr>
        <w:t xml:space="preserve">整体策划组织、会务接待、宣传推广和展览展示工作，工作内容包括但不仅限于：</w:t>
      </w:r>
      <w:r/>
    </w:p>
    <w:p>
      <w:pPr>
        <w:pStyle w:val="844"/>
        <w:ind w:firstLine="480"/>
        <w:spacing w:line="360" w:lineRule="auto"/>
        <w:rPr>
          <w:rFonts w:hint="eastAsia" w:ascii="宋体" w:hAnsi="宋体" w:eastAsia="宋体"/>
          <w:bCs/>
          <w:sz w:val="21"/>
          <w:szCs w:val="21"/>
        </w:rPr>
      </w:pPr>
      <w:r>
        <w:rPr>
          <w:rFonts w:hint="eastAsia" w:ascii="宋体" w:hAnsi="宋体" w:eastAsia="宋体"/>
          <w:bCs/>
          <w:sz w:val="21"/>
          <w:szCs w:val="21"/>
        </w:rPr>
        <w:t xml:space="preserve">1.组织策展、宣传、招展、布展、运维、撤展等工作；</w:t>
      </w:r>
      <w:r/>
    </w:p>
    <w:p>
      <w:pPr>
        <w:pStyle w:val="844"/>
        <w:ind w:firstLine="480"/>
        <w:spacing w:line="360" w:lineRule="auto"/>
        <w:rPr>
          <w:rFonts w:hint="eastAsia" w:ascii="宋体" w:hAnsi="宋体" w:eastAsia="宋体"/>
          <w:bCs/>
          <w:sz w:val="21"/>
          <w:szCs w:val="21"/>
        </w:rPr>
      </w:pPr>
      <w:r>
        <w:rPr>
          <w:rFonts w:hint="eastAsia" w:ascii="宋体" w:hAnsi="宋体" w:eastAsia="宋体"/>
          <w:bCs/>
          <w:sz w:val="21"/>
          <w:szCs w:val="21"/>
        </w:rPr>
        <w:t xml:space="preserve">2.负责策划和组织相关功能区、舞台搭建、推介会等相关配套活动；</w:t>
      </w:r>
      <w:r/>
    </w:p>
    <w:p>
      <w:pPr>
        <w:pStyle w:val="844"/>
        <w:ind w:firstLine="480"/>
        <w:spacing w:line="360" w:lineRule="auto"/>
        <w:rPr>
          <w:rFonts w:hint="eastAsia" w:ascii="宋体" w:hAnsi="宋体" w:eastAsia="宋体"/>
          <w:bCs/>
          <w:sz w:val="21"/>
          <w:szCs w:val="21"/>
        </w:rPr>
      </w:pPr>
      <w:r>
        <w:rPr>
          <w:rFonts w:hint="eastAsia" w:ascii="宋体" w:hAnsi="宋体" w:eastAsia="宋体"/>
          <w:bCs/>
          <w:sz w:val="21"/>
          <w:szCs w:val="21"/>
        </w:rPr>
        <w:t xml:space="preserve">3.为整个农洽会配备专业人员，持证上岗；提供展馆协调、展商服务、现场管理、安全保卫等全方位运营服务。</w:t>
      </w:r>
      <w:r/>
    </w:p>
    <w:p>
      <w:pPr>
        <w:pStyle w:val="84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（五）具体需求</w:t>
      </w:r>
      <w:r/>
    </w:p>
    <w:p>
      <w:pPr>
        <w:pStyle w:val="844"/>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1.展馆主场服务及运营：</w:t>
      </w:r>
      <w:r/>
    </w:p>
    <w:p>
      <w:pPr>
        <w:pStyle w:val="844"/>
        <w:ind w:firstLine="420"/>
        <w:spacing w:line="360" w:lineRule="auto"/>
        <w:rPr>
          <w:rFonts w:hint="eastAsia" w:ascii="宋体" w:hAnsi="宋体" w:eastAsia="宋体"/>
          <w:b/>
          <w:sz w:val="21"/>
          <w:szCs w:val="21"/>
        </w:rPr>
      </w:pPr>
      <w:r>
        <w:rPr>
          <w:rFonts w:hint="eastAsia" w:ascii="宋体" w:hAnsi="宋体" w:eastAsia="宋体"/>
          <w:bCs/>
          <w:sz w:val="21"/>
          <w:szCs w:val="21"/>
        </w:rPr>
        <w:t xml:space="preserve">（1）规划展示总面积约</w:t>
      </w:r>
      <w:r>
        <w:rPr>
          <w:rFonts w:hint="eastAsia" w:ascii="宋体" w:hAnsi="宋体" w:eastAsia="宋体"/>
          <w:bCs/>
          <w:sz w:val="21"/>
          <w:szCs w:val="21"/>
        </w:rPr>
        <w:t xml:space="preserve">13000平方米</w:t>
      </w:r>
      <w:r>
        <w:rPr>
          <w:rFonts w:hint="eastAsia" w:ascii="宋体" w:hAnsi="宋体" w:eastAsia="宋体"/>
          <w:bCs/>
          <w:sz w:val="21"/>
          <w:szCs w:val="21"/>
        </w:rPr>
        <w:t xml:space="preserve">，包含但不仅限于江苏省13个</w:t>
      </w:r>
      <w:r>
        <w:rPr>
          <w:rFonts w:hint="eastAsia" w:ascii="宋体" w:hAnsi="宋体" w:eastAsia="宋体"/>
          <w:bCs/>
          <w:sz w:val="21"/>
          <w:szCs w:val="21"/>
        </w:rPr>
        <w:t xml:space="preserve">地级市展示区、江苏对口支援城市展示区、</w:t>
      </w:r>
      <w:r>
        <w:rPr>
          <w:rFonts w:hint="eastAsia" w:ascii="宋体" w:hAnsi="宋体" w:eastAsia="宋体"/>
          <w:bCs/>
          <w:sz w:val="21"/>
          <w:szCs w:val="21"/>
        </w:rPr>
        <w:t xml:space="preserve">农业前沿科技成果展示区、</w:t>
      </w:r>
      <w:r>
        <w:rPr>
          <w:rFonts w:hint="eastAsia" w:ascii="宋体" w:hAnsi="宋体" w:eastAsia="宋体"/>
          <w:bCs/>
          <w:sz w:val="21"/>
          <w:szCs w:val="21"/>
        </w:rPr>
        <w:t xml:space="preserve">“一带一路”国际合作展区、综合功能区（包含整体氛围、服务台、直播区、餐饮区、洽谈区及相关导引布置等）。合理规划展区展位布局，参观动线流畅，各功能点位清晰合理。布局上做到既有统一性、整体性，又符合各区域特点。</w:t>
      </w:r>
      <w:r>
        <w:rPr>
          <w:rFonts w:hint="eastAsia" w:ascii="宋体" w:hAnsi="宋体" w:eastAsia="宋体"/>
          <w:b/>
          <w:sz w:val="21"/>
          <w:szCs w:val="21"/>
        </w:rPr>
      </w:r>
      <w:r/>
    </w:p>
    <w:p>
      <w:pPr>
        <w:pStyle w:val="999"/>
        <w:ind w:firstLine="420"/>
        <w:spacing w:line="360" w:lineRule="auto"/>
        <w:rPr>
          <w:rFonts w:hint="eastAsia" w:hAnsi="宋体"/>
          <w:bCs/>
          <w:szCs w:val="21"/>
        </w:rPr>
      </w:pPr>
      <w:r>
        <w:rPr>
          <w:rFonts w:hint="eastAsia" w:hAnsi="宋体"/>
          <w:bCs/>
          <w:szCs w:val="21"/>
        </w:rPr>
        <w:t xml:space="preserve">（2）</w:t>
      </w:r>
      <w:r>
        <w:rPr>
          <w:rFonts w:hAnsi="宋体"/>
          <w:bCs/>
          <w:szCs w:val="21"/>
        </w:rPr>
        <w:t xml:space="preserve">负责制定本项目中的各项组织、策划、设计等相关方案包括</w:t>
      </w:r>
      <w:r>
        <w:rPr>
          <w:rFonts w:hint="eastAsia" w:hAnsi="宋体"/>
          <w:bCs/>
          <w:szCs w:val="21"/>
        </w:rPr>
        <w:t xml:space="preserve">农洽会</w:t>
      </w:r>
      <w:r>
        <w:rPr>
          <w:rFonts w:hAnsi="宋体"/>
          <w:bCs/>
          <w:szCs w:val="21"/>
        </w:rPr>
        <w:t xml:space="preserve">主视觉、展馆户外广场氛围、馆内人流导视设计并根据采购单位要求修改完善。</w:t>
      </w:r>
      <w:r>
        <w:rPr>
          <w:rFonts w:hint="eastAsia" w:hAnsi="宋体"/>
          <w:bCs/>
          <w:szCs w:val="21"/>
        </w:rPr>
      </w:r>
      <w:r/>
    </w:p>
    <w:p>
      <w:pPr>
        <w:pStyle w:val="999"/>
        <w:ind w:firstLine="420"/>
        <w:spacing w:line="360" w:lineRule="auto"/>
        <w:rPr>
          <w:rFonts w:hint="eastAsia" w:hAnsi="宋体"/>
          <w:bCs/>
          <w:szCs w:val="21"/>
        </w:rPr>
      </w:pPr>
      <w:r>
        <w:rPr>
          <w:rFonts w:hint="eastAsia" w:hAnsi="宋体"/>
          <w:bCs/>
          <w:szCs w:val="21"/>
        </w:rPr>
        <w:t xml:space="preserve">（3）</w:t>
      </w:r>
      <w:r>
        <w:rPr>
          <w:rFonts w:hAnsi="宋体"/>
          <w:bCs/>
          <w:szCs w:val="21"/>
        </w:rPr>
        <w:t xml:space="preserve">负责展馆户外广场氛围搭建及</w:t>
      </w:r>
      <w:r>
        <w:rPr>
          <w:rFonts w:hint="eastAsia" w:hAnsi="宋体"/>
          <w:bCs/>
          <w:szCs w:val="21"/>
        </w:rPr>
        <w:t xml:space="preserve">拆展</w:t>
      </w:r>
      <w:r>
        <w:rPr>
          <w:rFonts w:hAnsi="宋体"/>
          <w:bCs/>
          <w:szCs w:val="21"/>
        </w:rPr>
        <w:t xml:space="preserve">。</w:t>
      </w:r>
      <w:r>
        <w:rPr>
          <w:rFonts w:hint="eastAsia" w:hAnsi="宋体"/>
          <w:bCs/>
          <w:szCs w:val="21"/>
        </w:rPr>
      </w:r>
      <w:r/>
    </w:p>
    <w:p>
      <w:pPr>
        <w:pStyle w:val="999"/>
        <w:ind w:firstLine="420"/>
        <w:spacing w:line="360" w:lineRule="auto"/>
        <w:rPr>
          <w:rFonts w:hint="eastAsia" w:hAnsi="宋体"/>
          <w:bCs/>
          <w:szCs w:val="21"/>
        </w:rPr>
      </w:pPr>
      <w:r>
        <w:rPr>
          <w:rFonts w:hint="eastAsia" w:hAnsi="宋体"/>
          <w:bCs/>
          <w:szCs w:val="21"/>
        </w:rPr>
        <w:t xml:space="preserve">（4）</w:t>
      </w:r>
      <w:r>
        <w:rPr>
          <w:rFonts w:hAnsi="宋体"/>
          <w:bCs/>
          <w:szCs w:val="21"/>
        </w:rPr>
        <w:t xml:space="preserve">配合采购单位做好展馆协调</w:t>
      </w:r>
      <w:r>
        <w:rPr>
          <w:rFonts w:hint="eastAsia" w:hAnsi="宋体"/>
          <w:bCs/>
          <w:szCs w:val="21"/>
        </w:rPr>
        <w:t xml:space="preserve">：</w:t>
      </w:r>
      <w:r/>
    </w:p>
    <w:p>
      <w:pPr>
        <w:pStyle w:val="999"/>
        <w:ind w:firstLine="578"/>
        <w:spacing w:line="360" w:lineRule="auto"/>
        <w:rPr>
          <w:rFonts w:hint="eastAsia" w:hAnsi="宋体"/>
          <w:bCs/>
          <w:szCs w:val="21"/>
        </w:rPr>
      </w:pPr>
      <w:r>
        <w:rPr>
          <w:rFonts w:hint="eastAsia" w:hAnsi="宋体"/>
          <w:bCs/>
          <w:szCs w:val="21"/>
        </w:rPr>
        <w:t xml:space="preserve">①场地租赁、报馆手续流程、安全消防点位等。</w:t>
      </w:r>
      <w:r/>
    </w:p>
    <w:p>
      <w:pPr>
        <w:pStyle w:val="999"/>
        <w:ind w:firstLine="578"/>
        <w:spacing w:line="360" w:lineRule="auto"/>
        <w:rPr>
          <w:rFonts w:hint="eastAsia" w:hAnsi="宋体"/>
          <w:bCs/>
          <w:szCs w:val="21"/>
        </w:rPr>
      </w:pPr>
      <w:r>
        <w:rPr>
          <w:rFonts w:hint="eastAsia" w:hAnsi="宋体"/>
          <w:bCs/>
          <w:szCs w:val="21"/>
        </w:rPr>
        <w:t xml:space="preserve">②考察展馆及周边环境，落实交通、路线等点位，规划参观动线。</w:t>
      </w:r>
      <w:r/>
    </w:p>
    <w:p>
      <w:pPr>
        <w:pStyle w:val="999"/>
        <w:ind w:firstLine="578"/>
        <w:spacing w:line="360" w:lineRule="auto"/>
        <w:rPr>
          <w:rFonts w:hint="eastAsia" w:hAnsi="宋体"/>
          <w:bCs/>
          <w:szCs w:val="21"/>
        </w:rPr>
      </w:pPr>
      <w:r>
        <w:rPr>
          <w:rFonts w:hint="eastAsia" w:hAnsi="宋体"/>
          <w:bCs/>
          <w:szCs w:val="21"/>
        </w:rPr>
        <w:t xml:space="preserve">③根据消防安全要求，全面设置人流疏导点位。</w:t>
      </w:r>
      <w:r/>
    </w:p>
    <w:p>
      <w:pPr>
        <w:pStyle w:val="999"/>
        <w:ind w:firstLine="420"/>
        <w:spacing w:line="360" w:lineRule="auto"/>
        <w:rPr>
          <w:rFonts w:hint="eastAsia" w:hAnsi="宋体"/>
          <w:bCs/>
          <w:szCs w:val="21"/>
        </w:rPr>
      </w:pPr>
      <w:r>
        <w:rPr>
          <w:rFonts w:hint="eastAsia" w:hAnsi="宋体"/>
          <w:bCs/>
          <w:szCs w:val="21"/>
        </w:rPr>
        <w:t xml:space="preserve">（5）展商</w:t>
      </w:r>
      <w:r>
        <w:rPr>
          <w:rFonts w:hAnsi="宋体"/>
          <w:bCs/>
          <w:szCs w:val="21"/>
        </w:rPr>
        <w:t xml:space="preserve">对接</w:t>
      </w:r>
      <w:r>
        <w:rPr>
          <w:rFonts w:hint="eastAsia" w:hAnsi="宋体"/>
          <w:bCs/>
          <w:szCs w:val="21"/>
        </w:rPr>
        <w:t xml:space="preserve">工作：</w:t>
      </w:r>
      <w:r/>
    </w:p>
    <w:p>
      <w:pPr>
        <w:pStyle w:val="999"/>
        <w:ind w:firstLine="578"/>
        <w:spacing w:line="360" w:lineRule="auto"/>
        <w:rPr>
          <w:rFonts w:hint="eastAsia" w:hAnsi="宋体"/>
          <w:bCs/>
          <w:szCs w:val="21"/>
        </w:rPr>
      </w:pPr>
      <w:r>
        <w:rPr>
          <w:rFonts w:hint="eastAsia" w:hAnsi="宋体"/>
          <w:bCs/>
          <w:szCs w:val="21"/>
        </w:rPr>
        <w:t xml:space="preserve">①负责联系各参展单位、沟通展位报馆、特装搭建等。</w:t>
      </w:r>
      <w:r/>
    </w:p>
    <w:p>
      <w:pPr>
        <w:pStyle w:val="999"/>
        <w:ind w:firstLine="578"/>
        <w:spacing w:line="360" w:lineRule="auto"/>
        <w:rPr>
          <w:rFonts w:hint="eastAsia" w:hAnsi="宋体"/>
          <w:bCs/>
          <w:szCs w:val="21"/>
        </w:rPr>
      </w:pPr>
      <w:r>
        <w:rPr>
          <w:rFonts w:hint="eastAsia" w:hAnsi="宋体"/>
          <w:bCs/>
          <w:szCs w:val="21"/>
        </w:rPr>
        <w:t xml:space="preserve">②配合参展单位进场搭建及拆展过程中各项事宜。</w:t>
      </w:r>
      <w:r/>
    </w:p>
    <w:p>
      <w:pPr>
        <w:pStyle w:val="999"/>
        <w:ind w:firstLine="420"/>
        <w:spacing w:line="360" w:lineRule="auto"/>
        <w:rPr>
          <w:rFonts w:hint="eastAsia" w:hAnsi="宋体"/>
          <w:bCs/>
          <w:szCs w:val="21"/>
        </w:rPr>
      </w:pPr>
      <w:r>
        <w:rPr>
          <w:rFonts w:hint="eastAsia" w:hAnsi="宋体"/>
          <w:bCs/>
          <w:szCs w:val="21"/>
        </w:rPr>
        <w:t xml:space="preserve">（6）</w:t>
      </w:r>
      <w:r>
        <w:rPr>
          <w:rFonts w:hAnsi="宋体"/>
          <w:bCs/>
          <w:szCs w:val="21"/>
        </w:rPr>
        <w:t xml:space="preserve">制定展商手册，核查展商提交的报馆资料、审核搭建图纸等相关报馆</w:t>
      </w:r>
      <w:r>
        <w:rPr>
          <w:rFonts w:hint="eastAsia" w:hAnsi="宋体"/>
          <w:bCs/>
          <w:szCs w:val="21"/>
        </w:rPr>
        <w:t xml:space="preserve">事宜</w:t>
      </w:r>
      <w:r>
        <w:rPr>
          <w:rFonts w:hAnsi="宋体"/>
          <w:bCs/>
          <w:szCs w:val="21"/>
        </w:rPr>
        <w:t xml:space="preserve">。</w:t>
      </w:r>
      <w:r>
        <w:rPr>
          <w:rFonts w:hint="eastAsia" w:hAnsi="宋体"/>
          <w:bCs/>
          <w:szCs w:val="21"/>
        </w:rPr>
      </w:r>
      <w:r/>
    </w:p>
    <w:p>
      <w:pPr>
        <w:pStyle w:val="999"/>
        <w:ind w:firstLine="420"/>
        <w:spacing w:line="360" w:lineRule="auto"/>
        <w:rPr>
          <w:rFonts w:hint="eastAsia" w:hAnsi="宋体"/>
          <w:bCs/>
          <w:szCs w:val="21"/>
        </w:rPr>
      </w:pPr>
      <w:r>
        <w:rPr>
          <w:rFonts w:hint="eastAsia" w:hAnsi="宋体"/>
          <w:bCs/>
          <w:szCs w:val="21"/>
        </w:rPr>
        <w:t xml:space="preserve">（7）</w:t>
      </w:r>
      <w:r>
        <w:rPr>
          <w:rFonts w:hAnsi="宋体"/>
          <w:bCs/>
          <w:szCs w:val="21"/>
        </w:rPr>
        <w:t xml:space="preserve">做好展期内秩序维护、人流引导、安全保卫等展会现场管理，确保展</w:t>
      </w:r>
      <w:r>
        <w:rPr>
          <w:rFonts w:hint="eastAsia" w:hAnsi="宋体"/>
          <w:bCs/>
          <w:szCs w:val="21"/>
        </w:rPr>
        <w:t xml:space="preserve">会</w:t>
      </w:r>
      <w:r>
        <w:rPr>
          <w:rFonts w:hAnsi="宋体"/>
          <w:bCs/>
          <w:szCs w:val="21"/>
        </w:rPr>
        <w:t xml:space="preserve">正常运行。</w:t>
      </w:r>
      <w:r>
        <w:rPr>
          <w:rFonts w:hint="eastAsia" w:hAnsi="宋体"/>
          <w:bCs/>
          <w:szCs w:val="21"/>
        </w:rPr>
      </w:r>
      <w:r/>
    </w:p>
    <w:p>
      <w:pPr>
        <w:pStyle w:val="999"/>
        <w:ind w:firstLine="420"/>
        <w:spacing w:line="360" w:lineRule="auto"/>
        <w:rPr>
          <w:rFonts w:hint="eastAsia" w:hAnsi="宋体"/>
          <w:bCs/>
          <w:szCs w:val="21"/>
        </w:rPr>
      </w:pPr>
      <w:r>
        <w:rPr>
          <w:rFonts w:hint="eastAsia" w:hAnsi="宋体"/>
          <w:bCs/>
          <w:szCs w:val="21"/>
        </w:rPr>
        <w:t xml:space="preserve">（8）安保、应急保障服务，</w:t>
      </w:r>
      <w:r>
        <w:rPr>
          <w:rFonts w:hint="eastAsia" w:hAnsi="宋体"/>
          <w:bCs/>
          <w:szCs w:val="21"/>
        </w:rPr>
        <w:t xml:space="preserve">完成社会稳定风险评估报告</w:t>
      </w:r>
      <w:r>
        <w:rPr>
          <w:rFonts w:hint="eastAsia" w:hAnsi="宋体"/>
          <w:bCs/>
          <w:szCs w:val="21"/>
        </w:rPr>
        <w:t xml:space="preserve">并</w:t>
      </w:r>
      <w:r>
        <w:rPr>
          <w:rFonts w:hint="eastAsia" w:hAnsi="宋体"/>
          <w:bCs/>
          <w:szCs w:val="21"/>
        </w:rPr>
        <w:t xml:space="preserve">承担</w:t>
      </w:r>
      <w:r>
        <w:rPr>
          <w:rFonts w:hint="eastAsia" w:hAnsi="宋体"/>
          <w:bCs/>
          <w:szCs w:val="21"/>
        </w:rPr>
        <w:t xml:space="preserve">相关</w:t>
      </w:r>
      <w:r>
        <w:rPr>
          <w:rFonts w:hint="eastAsia" w:hAnsi="宋体"/>
          <w:bCs/>
          <w:szCs w:val="21"/>
        </w:rPr>
        <w:t xml:space="preserve">费用</w:t>
      </w:r>
      <w:r>
        <w:rPr>
          <w:rFonts w:hint="eastAsia" w:hAnsi="宋体"/>
          <w:bCs/>
          <w:szCs w:val="21"/>
        </w:rPr>
        <w:t xml:space="preserve">：</w:t>
      </w:r>
      <w:r/>
    </w:p>
    <w:p>
      <w:pPr>
        <w:pStyle w:val="999"/>
        <w:ind w:firstLine="420"/>
        <w:spacing w:line="360" w:lineRule="auto"/>
        <w:rPr>
          <w:rFonts w:hint="eastAsia" w:hAnsi="宋体"/>
          <w:bCs/>
          <w:szCs w:val="21"/>
        </w:rPr>
      </w:pPr>
      <w:r>
        <w:rPr>
          <w:rFonts w:hint="eastAsia" w:hAnsi="宋体"/>
          <w:bCs/>
          <w:szCs w:val="21"/>
        </w:rPr>
        <w:t xml:space="preserve">①配合采购单位、公安、消防、卫健委等部门做好相关安保工作。</w:t>
      </w:r>
      <w:r/>
    </w:p>
    <w:p>
      <w:pPr>
        <w:pStyle w:val="999"/>
        <w:ind w:firstLine="420"/>
        <w:spacing w:line="360" w:lineRule="auto"/>
        <w:rPr>
          <w:rFonts w:hint="eastAsia" w:hAnsi="宋体"/>
          <w:bCs/>
          <w:szCs w:val="21"/>
        </w:rPr>
      </w:pPr>
      <w:r>
        <w:rPr>
          <w:rFonts w:hint="eastAsia" w:hAnsi="宋体"/>
          <w:bCs/>
          <w:szCs w:val="21"/>
        </w:rPr>
        <w:t xml:space="preserve">②组织安保</w:t>
      </w:r>
      <w:r>
        <w:rPr>
          <w:rFonts w:hint="eastAsia" w:hAnsi="宋体"/>
          <w:bCs/>
          <w:szCs w:val="21"/>
        </w:rPr>
        <w:t xml:space="preserve">人员根据采购单位要求的时间节点做好展会期间人员引导、疏散等工作。</w:t>
      </w:r>
      <w:r/>
    </w:p>
    <w:p>
      <w:pPr>
        <w:pStyle w:val="999"/>
        <w:ind w:firstLine="420"/>
        <w:spacing w:line="360" w:lineRule="auto"/>
        <w:rPr>
          <w:rFonts w:hint="eastAsia" w:hAnsi="宋体"/>
          <w:bCs/>
          <w:szCs w:val="21"/>
        </w:rPr>
      </w:pPr>
      <w:r>
        <w:rPr>
          <w:rFonts w:hint="eastAsia" w:hAnsi="宋体"/>
          <w:bCs/>
          <w:szCs w:val="21"/>
        </w:rPr>
        <w:t xml:space="preserve">③现场安全巡查、维护秩序、驱离场内流动小商贩等。</w:t>
      </w:r>
      <w:r/>
    </w:p>
    <w:p>
      <w:pPr>
        <w:pStyle w:val="999"/>
        <w:ind w:firstLine="420"/>
        <w:spacing w:line="360" w:lineRule="auto"/>
        <w:rPr>
          <w:rFonts w:hint="eastAsia" w:hAnsi="宋体"/>
          <w:bCs/>
          <w:szCs w:val="21"/>
        </w:rPr>
      </w:pPr>
      <w:r>
        <w:rPr>
          <w:rFonts w:hint="eastAsia" w:hAnsi="宋体"/>
          <w:bCs/>
          <w:szCs w:val="21"/>
        </w:rPr>
        <w:t xml:space="preserve">④展会结束后清场，对馆内进行巡查，预防展位展品的被盗或丢失。</w:t>
      </w:r>
      <w:r/>
    </w:p>
    <w:p>
      <w:pPr>
        <w:pStyle w:val="999"/>
        <w:ind w:firstLine="420"/>
        <w:spacing w:line="360" w:lineRule="auto"/>
        <w:rPr>
          <w:rFonts w:hint="eastAsia" w:hAnsi="宋体"/>
          <w:bCs/>
          <w:szCs w:val="21"/>
        </w:rPr>
      </w:pPr>
      <w:r>
        <w:rPr>
          <w:rFonts w:hint="eastAsia" w:hAnsi="宋体"/>
          <w:bCs/>
          <w:szCs w:val="21"/>
        </w:rPr>
        <w:t xml:space="preserve">（9）</w:t>
      </w:r>
      <w:r>
        <w:rPr>
          <w:rFonts w:hAnsi="宋体"/>
          <w:bCs/>
          <w:szCs w:val="21"/>
        </w:rPr>
        <w:t xml:space="preserve">场内外重要点位环境布置及指引，包括注水旗、背景板、导视等</w:t>
      </w:r>
      <w:r>
        <w:rPr>
          <w:rFonts w:hint="eastAsia" w:hAnsi="宋体"/>
          <w:bCs/>
          <w:szCs w:val="21"/>
        </w:rPr>
        <w:t xml:space="preserve">。</w:t>
      </w:r>
      <w:r/>
    </w:p>
    <w:p>
      <w:pPr>
        <w:pStyle w:val="999"/>
        <w:ind w:firstLine="420"/>
        <w:spacing w:line="360" w:lineRule="auto"/>
        <w:rPr>
          <w:rFonts w:hint="eastAsia" w:hAnsi="宋体"/>
          <w:bCs/>
          <w:szCs w:val="21"/>
        </w:rPr>
      </w:pPr>
      <w:r>
        <w:rPr>
          <w:rFonts w:hint="eastAsia" w:hAnsi="宋体"/>
          <w:bCs/>
          <w:szCs w:val="21"/>
        </w:rPr>
        <w:t xml:space="preserve">（10）</w:t>
      </w:r>
      <w:r>
        <w:rPr>
          <w:rFonts w:hAnsi="宋体"/>
          <w:bCs/>
          <w:szCs w:val="21"/>
        </w:rPr>
        <w:t xml:space="preserve">展馆场地租赁</w:t>
      </w:r>
      <w:r>
        <w:rPr>
          <w:rFonts w:hint="eastAsia" w:hAnsi="宋体"/>
          <w:bCs/>
          <w:szCs w:val="21"/>
        </w:rPr>
        <w:t xml:space="preserve">需满足采购单位相关场地面积</w:t>
      </w:r>
      <w:r>
        <w:rPr>
          <w:rFonts w:hint="eastAsia" w:hAnsi="宋体"/>
          <w:bCs/>
          <w:szCs w:val="21"/>
        </w:rPr>
        <w:t xml:space="preserve">及基础设施保障等要求。</w:t>
      </w:r>
      <w:r/>
    </w:p>
    <w:p>
      <w:pPr>
        <w:pStyle w:val="999"/>
        <w:ind w:left="478" w:firstLine="0"/>
        <w:spacing w:line="360" w:lineRule="auto"/>
        <w:rPr>
          <w:rFonts w:hint="eastAsia" w:hAnsi="宋体"/>
          <w:b/>
          <w:szCs w:val="21"/>
        </w:rPr>
      </w:pPr>
      <w:r>
        <w:rPr>
          <w:rFonts w:hint="eastAsia" w:hAnsi="宋体"/>
          <w:b/>
          <w:szCs w:val="21"/>
        </w:rPr>
        <w:t xml:space="preserve">2.展览展示：</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（1）配合采购单位做好苏州主题展示馆</w:t>
      </w:r>
      <w:r>
        <w:rPr>
          <w:rFonts w:hint="eastAsia" w:ascii="宋体" w:hAnsi="宋体" w:eastAsia="宋体"/>
          <w:bCs/>
          <w:sz w:val="21"/>
          <w:szCs w:val="21"/>
        </w:rPr>
        <w:t xml:space="preserve">（300平方米）</w:t>
      </w:r>
      <w:r>
        <w:rPr>
          <w:rFonts w:hint="eastAsia" w:ascii="宋体" w:hAnsi="宋体" w:eastAsia="宋体"/>
          <w:bCs/>
          <w:sz w:val="21"/>
          <w:szCs w:val="21"/>
        </w:rPr>
        <w:t xml:space="preserve">的规划、设计及搭建工作。</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（2）配合采购单位做好标准展位的规划、设计及搭建工作，</w:t>
      </w:r>
      <w:r>
        <w:rPr>
          <w:rFonts w:hint="eastAsia" w:ascii="宋体" w:hAnsi="宋体" w:eastAsia="宋体"/>
          <w:bCs/>
          <w:sz w:val="21"/>
          <w:szCs w:val="21"/>
        </w:rPr>
        <w:t xml:space="preserve">数量不少于300个</w:t>
      </w:r>
      <w:r>
        <w:rPr>
          <w:rFonts w:hint="eastAsia" w:ascii="宋体" w:hAnsi="宋体" w:eastAsia="宋体"/>
          <w:bCs/>
          <w:sz w:val="21"/>
          <w:szCs w:val="21"/>
        </w:rPr>
        <w:t xml:space="preserve">。</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（3）配合采购单位做好综合功能区的规划、设计及搭建工作，</w:t>
      </w:r>
      <w:r>
        <w:rPr>
          <w:rFonts w:hint="eastAsia" w:ascii="宋体" w:hAnsi="宋体" w:eastAsia="宋体"/>
          <w:bCs/>
          <w:sz w:val="21"/>
          <w:szCs w:val="21"/>
        </w:rPr>
        <w:t xml:space="preserve">包含整体氛围、服务台、直播区、餐饮区、洽谈区及相关导引布置等。</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（4）配合采购单位做好其他相关设计搭建工作，</w:t>
      </w:r>
      <w:r>
        <w:rPr>
          <w:rFonts w:hint="eastAsia" w:ascii="宋体" w:hAnsi="宋体" w:eastAsia="宋体"/>
          <w:bCs/>
          <w:sz w:val="21"/>
          <w:szCs w:val="21"/>
        </w:rPr>
        <w:t xml:space="preserve">按照实际搭建面积3500平方米进行预估（主要涉及江苏省12个地级市展示区、江苏对口支援城市展示区、“一带一路”</w:t>
      </w:r>
      <w:r>
        <w:rPr>
          <w:rFonts w:hint="eastAsia" w:ascii="宋体" w:hAnsi="宋体" w:eastAsia="宋体"/>
          <w:bCs/>
          <w:sz w:val="21"/>
          <w:szCs w:val="21"/>
        </w:rPr>
        <w:t xml:space="preserve">国际合作展区</w:t>
      </w:r>
      <w:r>
        <w:rPr>
          <w:rFonts w:hint="eastAsia" w:ascii="宋体" w:hAnsi="宋体" w:eastAsia="宋体"/>
          <w:bCs/>
          <w:sz w:val="21"/>
          <w:szCs w:val="21"/>
        </w:rPr>
        <w:t xml:space="preserve">）。</w:t>
      </w:r>
      <w:r>
        <w:rPr>
          <w:rFonts w:hint="eastAsia" w:ascii="宋体" w:hAnsi="宋体" w:eastAsia="宋体"/>
          <w:bCs/>
          <w:sz w:val="21"/>
          <w:szCs w:val="21"/>
        </w:rPr>
      </w:r>
      <w:r/>
    </w:p>
    <w:p>
      <w:pPr>
        <w:pStyle w:val="844"/>
        <w:ind w:firstLine="480"/>
        <w:spacing w:line="360" w:lineRule="auto"/>
        <w:rPr>
          <w:rFonts w:ascii="宋体" w:hAnsi="宋体" w:eastAsia="宋体"/>
          <w:bCs/>
          <w:sz w:val="21"/>
          <w:szCs w:val="21"/>
        </w:rPr>
      </w:pPr>
      <w:r>
        <w:rPr>
          <w:rFonts w:hint="eastAsia" w:ascii="宋体" w:hAnsi="宋体" w:eastAsia="宋体"/>
          <w:bCs/>
          <w:sz w:val="21"/>
          <w:szCs w:val="21"/>
        </w:rPr>
        <w:t xml:space="preserve">（5）“一带一路”国际合作展区，</w:t>
      </w:r>
      <w:r>
        <w:rPr>
          <w:rFonts w:hint="eastAsia" w:ascii="宋体" w:hAnsi="宋体" w:eastAsia="宋体"/>
          <w:bCs/>
          <w:sz w:val="21"/>
          <w:szCs w:val="21"/>
        </w:rPr>
        <w:t xml:space="preserve">邀请不少于10个“一带一路”沿线国家参展。</w:t>
      </w:r>
      <w:r>
        <w:rPr>
          <w:rFonts w:ascii="宋体" w:hAnsi="宋体" w:eastAsia="宋体"/>
          <w:bCs/>
          <w:sz w:val="21"/>
          <w:szCs w:val="21"/>
        </w:rPr>
      </w:r>
      <w:r/>
    </w:p>
    <w:p>
      <w:pPr>
        <w:pStyle w:val="84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3.会务及后勤接待保障：</w:t>
      </w:r>
      <w:r/>
    </w:p>
    <w:p>
      <w:pPr>
        <w:pStyle w:val="844"/>
        <w:ind w:firstLine="480"/>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第二十五届江苏农业国际合作洽谈会及相关配套活动的整体策划设计及布置，</w:t>
      </w:r>
      <w:r>
        <w:rPr>
          <w:rFonts w:ascii="宋体" w:hAnsi="宋体" w:eastAsia="宋体"/>
          <w:bCs/>
          <w:sz w:val="21"/>
          <w:szCs w:val="21"/>
        </w:rPr>
        <w:t xml:space="preserve">包括主题、流程、效果图等方案的设计制定、场地规划安排、现场搭建、LED大屏舞台及灯光音响设备人员配置等保障工作。</w:t>
      </w:r>
      <w:r>
        <w:rPr>
          <w:rFonts w:hint="eastAsia" w:ascii="宋体" w:hAnsi="宋体" w:eastAsia="宋体"/>
          <w:bCs/>
          <w:sz w:val="21"/>
          <w:szCs w:val="21"/>
        </w:rPr>
      </w:r>
      <w:r/>
    </w:p>
    <w:p>
      <w:pPr>
        <w:pStyle w:val="844"/>
        <w:ind w:firstLine="480"/>
        <w:spacing w:line="360" w:lineRule="auto"/>
        <w:rPr>
          <w:rFonts w:hint="eastAsia"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配合做好农洽会期间</w:t>
      </w:r>
      <w:r>
        <w:rPr>
          <w:rFonts w:ascii="宋体" w:hAnsi="宋体" w:eastAsia="宋体"/>
          <w:bCs/>
          <w:sz w:val="21"/>
          <w:szCs w:val="21"/>
        </w:rPr>
        <w:t xml:space="preserve">各类</w:t>
      </w:r>
      <w:r>
        <w:rPr>
          <w:rFonts w:hint="eastAsia" w:ascii="宋体" w:hAnsi="宋体" w:eastAsia="宋体"/>
          <w:bCs/>
          <w:sz w:val="21"/>
          <w:szCs w:val="21"/>
        </w:rPr>
        <w:t xml:space="preserve">论坛</w:t>
      </w:r>
      <w:r>
        <w:rPr>
          <w:rFonts w:ascii="宋体" w:hAnsi="宋体" w:eastAsia="宋体"/>
          <w:bCs/>
          <w:sz w:val="21"/>
          <w:szCs w:val="21"/>
        </w:rPr>
        <w:t xml:space="preserve">的服务保障工作。</w:t>
      </w:r>
      <w:r>
        <w:rPr>
          <w:rFonts w:hint="eastAsia" w:ascii="宋体" w:hAnsi="宋体" w:eastAsia="宋体"/>
          <w:bCs/>
          <w:sz w:val="21"/>
          <w:szCs w:val="21"/>
        </w:rPr>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3</w:t>
      </w:r>
      <w:r>
        <w:rPr>
          <w:rFonts w:hint="eastAsia" w:ascii="宋体" w:hAnsi="宋体" w:eastAsia="宋体" w:cs="宋体"/>
          <w:bCs/>
          <w:sz w:val="21"/>
          <w:szCs w:val="21"/>
          <w:lang w:val="zh-CN"/>
        </w:rPr>
        <w:t xml:space="preserve">）根据嘉宾人数</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不超过</w:t>
      </w:r>
      <w:r>
        <w:rPr>
          <w:rFonts w:hint="eastAsia" w:ascii="宋体" w:hAnsi="宋体" w:eastAsia="宋体" w:cs="宋体"/>
          <w:bCs/>
          <w:sz w:val="21"/>
          <w:szCs w:val="21"/>
        </w:rPr>
        <w:t xml:space="preserve">200人</w:t>
      </w:r>
      <w:r>
        <w:rPr>
          <w:rFonts w:hint="eastAsia" w:ascii="宋体" w:hAnsi="宋体" w:eastAsia="宋体" w:cs="宋体"/>
          <w:bCs/>
          <w:sz w:val="21"/>
          <w:szCs w:val="21"/>
          <w:lang w:val="zh-CN"/>
        </w:rPr>
        <w:t xml:space="preserve">）</w:t>
      </w:r>
      <w:r>
        <w:rPr>
          <w:rFonts w:hint="eastAsia" w:ascii="宋体" w:hAnsi="宋体" w:eastAsia="宋体" w:cs="宋体"/>
          <w:bCs/>
          <w:sz w:val="21"/>
          <w:szCs w:val="21"/>
          <w:lang w:val="zh-CN"/>
        </w:rPr>
        <w:t xml:space="preserve">，对</w:t>
      </w:r>
      <w:r>
        <w:rPr>
          <w:rFonts w:ascii="宋体" w:hAnsi="宋体" w:eastAsia="宋体" w:cs="宋体"/>
          <w:bCs/>
          <w:sz w:val="21"/>
          <w:szCs w:val="21"/>
          <w:lang w:val="zh-CN"/>
        </w:rPr>
        <w:t xml:space="preserve">保障</w:t>
      </w:r>
      <w:r>
        <w:rPr>
          <w:rFonts w:hint="eastAsia" w:ascii="宋体" w:hAnsi="宋体" w:eastAsia="宋体" w:cs="宋体"/>
          <w:bCs/>
          <w:sz w:val="21"/>
          <w:szCs w:val="21"/>
          <w:lang w:val="zh-CN"/>
        </w:rPr>
        <w:t xml:space="preserve">驻</w:t>
      </w:r>
      <w:r>
        <w:rPr>
          <w:rFonts w:ascii="宋体" w:hAnsi="宋体" w:eastAsia="宋体" w:cs="宋体"/>
          <w:bCs/>
          <w:sz w:val="21"/>
          <w:szCs w:val="21"/>
          <w:lang w:val="zh-CN"/>
        </w:rPr>
        <w:t xml:space="preserve">地</w:t>
      </w:r>
      <w:r>
        <w:rPr>
          <w:rFonts w:hint="eastAsia" w:ascii="宋体" w:hAnsi="宋体" w:eastAsia="宋体" w:cs="宋体"/>
          <w:bCs/>
          <w:sz w:val="21"/>
          <w:szCs w:val="21"/>
          <w:lang w:val="zh-CN"/>
        </w:rPr>
        <w:t xml:space="preserve">进</w:t>
      </w:r>
      <w:r>
        <w:rPr>
          <w:rFonts w:ascii="宋体" w:hAnsi="宋体" w:eastAsia="宋体" w:cs="宋体"/>
          <w:bCs/>
          <w:sz w:val="21"/>
          <w:szCs w:val="21"/>
          <w:lang w:val="zh-CN"/>
        </w:rPr>
        <w:t xml:space="preserve">行推荐及合理安排</w:t>
      </w:r>
      <w:r>
        <w:rPr>
          <w:rFonts w:hint="eastAsia" w:ascii="宋体" w:hAnsi="宋体" w:eastAsia="宋体" w:cs="宋体"/>
          <w:bCs/>
          <w:sz w:val="21"/>
          <w:szCs w:val="21"/>
        </w:rPr>
        <w:t xml:space="preserve">。</w:t>
      </w:r>
      <w:r>
        <w:rPr>
          <w:rFonts w:hint="eastAsia" w:ascii="宋体" w:hAnsi="宋体" w:eastAsia="宋体" w:cs="宋体"/>
          <w:bCs/>
          <w:sz w:val="21"/>
          <w:szCs w:val="21"/>
          <w:lang w:val="zh-CN"/>
        </w:rPr>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4</w:t>
      </w:r>
      <w:r>
        <w:rPr>
          <w:rFonts w:hint="eastAsia" w:ascii="宋体" w:hAnsi="宋体" w:eastAsia="宋体" w:cs="宋体"/>
          <w:bCs/>
          <w:sz w:val="21"/>
          <w:szCs w:val="21"/>
          <w:lang w:val="zh-CN"/>
        </w:rPr>
        <w:t xml:space="preserve">）展会期间</w:t>
      </w:r>
      <w:r>
        <w:rPr>
          <w:rFonts w:ascii="宋体" w:hAnsi="宋体" w:eastAsia="宋体" w:cs="宋体"/>
          <w:bCs/>
          <w:sz w:val="21"/>
          <w:szCs w:val="21"/>
          <w:lang w:val="zh-CN"/>
        </w:rPr>
        <w:t xml:space="preserve">用餐保障：包含嘉</w:t>
      </w:r>
      <w:r>
        <w:rPr>
          <w:rFonts w:hint="eastAsia" w:ascii="宋体" w:hAnsi="宋体" w:eastAsia="宋体" w:cs="宋体"/>
          <w:bCs/>
          <w:sz w:val="21"/>
          <w:szCs w:val="21"/>
          <w:lang w:val="zh-CN"/>
        </w:rPr>
        <w:t xml:space="preserve">宾</w:t>
      </w:r>
      <w:r>
        <w:rPr>
          <w:rFonts w:ascii="宋体" w:hAnsi="宋体" w:eastAsia="宋体" w:cs="宋体"/>
          <w:bCs/>
          <w:sz w:val="21"/>
          <w:szCs w:val="21"/>
          <w:lang w:val="zh-CN"/>
        </w:rPr>
        <w:t xml:space="preserve">、媒体、</w:t>
      </w:r>
      <w:r>
        <w:rPr>
          <w:rFonts w:hint="eastAsia" w:ascii="宋体" w:hAnsi="宋体" w:eastAsia="宋体" w:cs="宋体"/>
          <w:bCs/>
          <w:sz w:val="21"/>
          <w:szCs w:val="21"/>
          <w:lang w:val="zh-CN"/>
        </w:rPr>
        <w:t xml:space="preserve">现场</w:t>
      </w:r>
      <w:r>
        <w:rPr>
          <w:rFonts w:ascii="宋体" w:hAnsi="宋体" w:eastAsia="宋体" w:cs="宋体"/>
          <w:bCs/>
          <w:sz w:val="21"/>
          <w:szCs w:val="21"/>
          <w:lang w:val="zh-CN"/>
        </w:rPr>
        <w:t xml:space="preserve">安保、公安、消防、志愿者、</w:t>
      </w:r>
      <w:r>
        <w:rPr>
          <w:rFonts w:hint="eastAsia" w:ascii="宋体" w:hAnsi="宋体" w:eastAsia="宋体" w:cs="宋体"/>
          <w:bCs/>
          <w:sz w:val="21"/>
          <w:szCs w:val="21"/>
          <w:lang w:val="zh-CN"/>
        </w:rPr>
        <w:t xml:space="preserve">现场</w:t>
      </w:r>
      <w:r>
        <w:rPr>
          <w:rFonts w:ascii="宋体" w:hAnsi="宋体" w:eastAsia="宋体" w:cs="宋体"/>
          <w:bCs/>
          <w:sz w:val="21"/>
          <w:szCs w:val="21"/>
          <w:lang w:val="zh-CN"/>
        </w:rPr>
        <w:t xml:space="preserve">集中</w:t>
      </w:r>
      <w:r>
        <w:rPr>
          <w:rFonts w:hint="eastAsia" w:ascii="宋体" w:hAnsi="宋体" w:eastAsia="宋体" w:cs="宋体"/>
          <w:bCs/>
          <w:sz w:val="21"/>
          <w:szCs w:val="21"/>
          <w:lang w:val="zh-CN"/>
        </w:rPr>
        <w:t xml:space="preserve">办</w:t>
      </w:r>
      <w:r>
        <w:rPr>
          <w:rFonts w:ascii="宋体" w:hAnsi="宋体" w:eastAsia="宋体" w:cs="宋体"/>
          <w:bCs/>
          <w:sz w:val="21"/>
          <w:szCs w:val="21"/>
          <w:lang w:val="zh-CN"/>
        </w:rPr>
        <w:t xml:space="preserve">公等相关人</w:t>
      </w:r>
      <w:r>
        <w:rPr>
          <w:rFonts w:hint="eastAsia" w:ascii="宋体" w:hAnsi="宋体" w:eastAsia="宋体" w:cs="宋体"/>
          <w:bCs/>
          <w:sz w:val="21"/>
          <w:szCs w:val="21"/>
          <w:lang w:val="zh-CN"/>
        </w:rPr>
        <w:t xml:space="preserve">员</w:t>
      </w:r>
      <w:r>
        <w:rPr>
          <w:rFonts w:ascii="宋体" w:hAnsi="宋体" w:eastAsia="宋体" w:cs="宋体"/>
          <w:bCs/>
          <w:sz w:val="21"/>
          <w:szCs w:val="21"/>
          <w:lang w:val="zh-CN"/>
        </w:rPr>
        <w:t xml:space="preserve">用餐、用水</w:t>
      </w:r>
      <w:r>
        <w:rPr>
          <w:rFonts w:hint="eastAsia" w:ascii="宋体" w:hAnsi="宋体" w:eastAsia="宋体" w:cs="宋体"/>
          <w:bCs/>
          <w:sz w:val="21"/>
          <w:szCs w:val="21"/>
          <w:lang w:val="zh-CN"/>
        </w:rPr>
        <w:t xml:space="preserve">。</w:t>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）展会期间车辆</w:t>
      </w:r>
      <w:r>
        <w:rPr>
          <w:rFonts w:ascii="宋体" w:hAnsi="宋体" w:eastAsia="宋体" w:cs="宋体"/>
          <w:bCs/>
          <w:sz w:val="21"/>
          <w:szCs w:val="21"/>
          <w:lang w:val="zh-CN"/>
        </w:rPr>
        <w:t xml:space="preserve">保</w:t>
      </w:r>
      <w:r>
        <w:rPr>
          <w:rFonts w:hint="eastAsia" w:ascii="宋体" w:hAnsi="宋体" w:eastAsia="宋体" w:cs="宋体"/>
          <w:bCs/>
          <w:sz w:val="21"/>
          <w:szCs w:val="21"/>
          <w:lang w:val="zh-CN"/>
        </w:rPr>
        <w:t xml:space="preserve">障：包括接机（站）、送机（站）、入住酒店、驻</w:t>
      </w:r>
      <w:r>
        <w:rPr>
          <w:rFonts w:ascii="宋体" w:hAnsi="宋体" w:eastAsia="宋体" w:cs="宋体"/>
          <w:bCs/>
          <w:sz w:val="21"/>
          <w:szCs w:val="21"/>
          <w:lang w:val="zh-CN"/>
        </w:rPr>
        <w:t xml:space="preserve">地至</w:t>
      </w:r>
      <w:r>
        <w:rPr>
          <w:rFonts w:hint="eastAsia" w:ascii="宋体" w:hAnsi="宋体" w:eastAsia="宋体" w:cs="宋体"/>
          <w:bCs/>
          <w:sz w:val="21"/>
          <w:szCs w:val="21"/>
          <w:lang w:val="zh-CN"/>
        </w:rPr>
        <w:t xml:space="preserve">农洽会场</w:t>
      </w:r>
      <w:r>
        <w:rPr>
          <w:rFonts w:ascii="宋体" w:hAnsi="宋体" w:eastAsia="宋体" w:cs="宋体"/>
          <w:bCs/>
          <w:sz w:val="21"/>
          <w:szCs w:val="21"/>
          <w:lang w:val="zh-CN"/>
        </w:rPr>
        <w:t xml:space="preserve">地来回接</w:t>
      </w:r>
      <w:r>
        <w:rPr>
          <w:rFonts w:hint="eastAsia" w:ascii="宋体" w:hAnsi="宋体" w:eastAsia="宋体" w:cs="宋体"/>
          <w:bCs/>
          <w:sz w:val="21"/>
          <w:szCs w:val="21"/>
          <w:lang w:val="zh-CN"/>
        </w:rPr>
        <w:t xml:space="preserve">驳</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现场临时</w:t>
      </w:r>
      <w:r>
        <w:rPr>
          <w:rFonts w:ascii="宋体" w:hAnsi="宋体" w:eastAsia="宋体" w:cs="宋体"/>
          <w:bCs/>
          <w:sz w:val="21"/>
          <w:szCs w:val="21"/>
          <w:lang w:val="zh-CN"/>
        </w:rPr>
        <w:t xml:space="preserve">用</w:t>
      </w:r>
      <w:r>
        <w:rPr>
          <w:rFonts w:hint="eastAsia" w:ascii="宋体" w:hAnsi="宋体" w:eastAsia="宋体" w:cs="宋体"/>
          <w:bCs/>
          <w:sz w:val="21"/>
          <w:szCs w:val="21"/>
          <w:lang w:val="zh-CN"/>
        </w:rPr>
        <w:t xml:space="preserve">车</w:t>
      </w:r>
      <w:r>
        <w:rPr>
          <w:rFonts w:ascii="宋体" w:hAnsi="宋体" w:eastAsia="宋体" w:cs="宋体"/>
          <w:bCs/>
          <w:sz w:val="21"/>
          <w:szCs w:val="21"/>
          <w:lang w:val="zh-CN"/>
        </w:rPr>
        <w:t xml:space="preserve">等，</w:t>
      </w:r>
      <w:r>
        <w:rPr>
          <w:rFonts w:hint="eastAsia" w:ascii="宋体" w:hAnsi="宋体" w:eastAsia="宋体" w:cs="宋体"/>
          <w:bCs/>
          <w:sz w:val="21"/>
          <w:szCs w:val="21"/>
          <w:lang w:val="zh-CN"/>
        </w:rPr>
        <w:t xml:space="preserve">车</w:t>
      </w:r>
      <w:r>
        <w:rPr>
          <w:rFonts w:ascii="宋体" w:hAnsi="宋体" w:eastAsia="宋体" w:cs="宋体"/>
          <w:bCs/>
          <w:sz w:val="21"/>
          <w:szCs w:val="21"/>
          <w:lang w:val="zh-CN"/>
        </w:rPr>
        <w:t xml:space="preserve">型包括大巴、考斯特、商</w:t>
      </w:r>
      <w:r>
        <w:rPr>
          <w:rFonts w:hint="eastAsia" w:ascii="宋体" w:hAnsi="宋体" w:eastAsia="宋体" w:cs="宋体"/>
          <w:bCs/>
          <w:sz w:val="21"/>
          <w:szCs w:val="21"/>
          <w:lang w:val="zh-CN"/>
        </w:rPr>
        <w:t xml:space="preserve">务车</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轿车</w:t>
      </w:r>
      <w:r>
        <w:rPr>
          <w:rFonts w:ascii="宋体" w:hAnsi="宋体" w:eastAsia="宋体" w:cs="宋体"/>
          <w:bCs/>
          <w:sz w:val="21"/>
          <w:szCs w:val="21"/>
          <w:lang w:val="zh-CN"/>
        </w:rPr>
        <w:t xml:space="preserve">等，</w:t>
      </w:r>
      <w:r>
        <w:rPr>
          <w:rFonts w:hint="eastAsia" w:ascii="宋体" w:hAnsi="宋体" w:eastAsia="宋体" w:cs="宋体"/>
          <w:bCs/>
          <w:sz w:val="21"/>
          <w:szCs w:val="21"/>
          <w:lang w:val="zh-CN"/>
        </w:rPr>
        <w:t xml:space="preserve">满</w:t>
      </w:r>
      <w:r>
        <w:rPr>
          <w:rFonts w:ascii="宋体" w:hAnsi="宋体" w:eastAsia="宋体" w:cs="宋体"/>
          <w:bCs/>
          <w:sz w:val="21"/>
          <w:szCs w:val="21"/>
          <w:lang w:val="zh-CN"/>
        </w:rPr>
        <w:t xml:space="preserve">足</w:t>
      </w:r>
      <w:r>
        <w:rPr>
          <w:rFonts w:hint="eastAsia" w:ascii="宋体" w:hAnsi="宋体" w:eastAsia="宋体" w:cs="宋体"/>
          <w:bCs/>
          <w:sz w:val="21"/>
          <w:szCs w:val="21"/>
        </w:rPr>
        <w:t xml:space="preserve">采购单位</w:t>
      </w:r>
      <w:r>
        <w:rPr>
          <w:rFonts w:ascii="宋体" w:hAnsi="宋体" w:eastAsia="宋体" w:cs="宋体"/>
          <w:bCs/>
          <w:sz w:val="21"/>
          <w:szCs w:val="21"/>
          <w:lang w:val="zh-CN"/>
        </w:rPr>
        <w:t xml:space="preserve">需求</w:t>
      </w:r>
      <w:r>
        <w:rPr>
          <w:rFonts w:hint="eastAsia" w:ascii="宋体" w:hAnsi="宋体" w:eastAsia="宋体" w:cs="宋体"/>
          <w:bCs/>
          <w:sz w:val="21"/>
          <w:szCs w:val="21"/>
          <w:lang w:val="zh-CN"/>
        </w:rPr>
        <w:t xml:space="preserve">。</w:t>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）展会期间嘉宾</w:t>
      </w:r>
      <w:r>
        <w:rPr>
          <w:rFonts w:ascii="宋体" w:hAnsi="宋体" w:eastAsia="宋体" w:cs="宋体"/>
          <w:bCs/>
          <w:sz w:val="21"/>
          <w:szCs w:val="21"/>
          <w:lang w:val="zh-CN"/>
        </w:rPr>
        <w:t xml:space="preserve">保障：</w:t>
      </w:r>
      <w:r>
        <w:rPr>
          <w:rFonts w:hint="eastAsia" w:ascii="宋体" w:hAnsi="宋体" w:eastAsia="宋体" w:cs="宋体"/>
          <w:bCs/>
          <w:sz w:val="21"/>
          <w:szCs w:val="21"/>
          <w:lang w:val="zh-CN"/>
        </w:rPr>
        <w:t xml:space="preserve">为重要</w:t>
      </w:r>
      <w:r>
        <w:rPr>
          <w:rFonts w:ascii="宋体" w:hAnsi="宋体" w:eastAsia="宋体" w:cs="宋体"/>
          <w:bCs/>
          <w:sz w:val="21"/>
          <w:szCs w:val="21"/>
          <w:lang w:val="zh-CN"/>
        </w:rPr>
        <w:t xml:space="preserve">嘉</w:t>
      </w:r>
      <w:r>
        <w:rPr>
          <w:rFonts w:hint="eastAsia" w:ascii="宋体" w:hAnsi="宋体" w:eastAsia="宋体" w:cs="宋体"/>
          <w:bCs/>
          <w:sz w:val="21"/>
          <w:szCs w:val="21"/>
          <w:lang w:val="zh-CN"/>
        </w:rPr>
        <w:t xml:space="preserve">宾、外宾</w:t>
      </w:r>
      <w:r>
        <w:rPr>
          <w:rFonts w:ascii="宋体" w:hAnsi="宋体" w:eastAsia="宋体" w:cs="宋体"/>
          <w:bCs/>
          <w:sz w:val="21"/>
          <w:szCs w:val="21"/>
          <w:lang w:val="zh-CN"/>
        </w:rPr>
        <w:t xml:space="preserve">等提供</w:t>
      </w:r>
      <w:r>
        <w:rPr>
          <w:rFonts w:hint="eastAsia" w:ascii="宋体" w:hAnsi="宋体" w:eastAsia="宋体" w:cs="宋体"/>
          <w:bCs/>
          <w:sz w:val="21"/>
          <w:szCs w:val="21"/>
          <w:lang w:val="zh-CN"/>
        </w:rPr>
        <w:t xml:space="preserve">食宿交通保障</w:t>
      </w:r>
      <w:r>
        <w:rPr>
          <w:rFonts w:ascii="宋体" w:hAnsi="宋体" w:eastAsia="宋体" w:cs="宋体"/>
          <w:bCs/>
          <w:sz w:val="21"/>
          <w:szCs w:val="21"/>
          <w:lang w:val="zh-CN"/>
        </w:rPr>
        <w:t xml:space="preserve">服</w:t>
      </w:r>
      <w:r>
        <w:rPr>
          <w:rFonts w:hint="eastAsia" w:ascii="宋体" w:hAnsi="宋体" w:eastAsia="宋体" w:cs="宋体"/>
          <w:bCs/>
          <w:sz w:val="21"/>
          <w:szCs w:val="21"/>
          <w:lang w:val="zh-CN"/>
        </w:rPr>
        <w:t xml:space="preserve">务</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不超过</w:t>
      </w:r>
      <w:r>
        <w:rPr>
          <w:rFonts w:hint="eastAsia" w:ascii="宋体" w:hAnsi="宋体" w:eastAsia="宋体" w:cs="宋体"/>
          <w:bCs/>
          <w:sz w:val="21"/>
          <w:szCs w:val="21"/>
        </w:rPr>
        <w:t xml:space="preserve">50人</w:t>
      </w:r>
      <w:r>
        <w:rPr>
          <w:rFonts w:hint="eastAsia" w:ascii="宋体" w:hAnsi="宋体" w:eastAsia="宋体" w:cs="宋体"/>
          <w:bCs/>
          <w:sz w:val="21"/>
          <w:szCs w:val="21"/>
          <w:lang w:val="zh-CN"/>
        </w:rPr>
        <w:t xml:space="preserve">）</w:t>
      </w:r>
      <w:r>
        <w:rPr>
          <w:rFonts w:hint="eastAsia" w:ascii="宋体" w:hAnsi="宋体" w:eastAsia="宋体" w:cs="宋体"/>
          <w:bCs/>
          <w:sz w:val="21"/>
          <w:szCs w:val="21"/>
          <w:lang w:val="zh-CN"/>
        </w:rPr>
        <w:t xml:space="preserve">。</w:t>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7</w:t>
      </w:r>
      <w:r>
        <w:rPr>
          <w:rFonts w:hint="eastAsia" w:ascii="宋体" w:hAnsi="宋体" w:eastAsia="宋体" w:cs="宋体"/>
          <w:bCs/>
          <w:sz w:val="21"/>
          <w:szCs w:val="21"/>
          <w:lang w:val="zh-CN"/>
        </w:rPr>
        <w:t xml:space="preserve">）保障人员</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针对</w:t>
      </w:r>
      <w:r>
        <w:rPr>
          <w:rFonts w:ascii="宋体" w:hAnsi="宋体" w:eastAsia="宋体" w:cs="宋体"/>
          <w:bCs/>
          <w:sz w:val="21"/>
          <w:szCs w:val="21"/>
          <w:lang w:val="zh-CN"/>
        </w:rPr>
        <w:t xml:space="preserve">展会期</w:t>
      </w:r>
      <w:r>
        <w:rPr>
          <w:rFonts w:hint="eastAsia" w:ascii="宋体" w:hAnsi="宋体" w:eastAsia="宋体" w:cs="宋体"/>
          <w:bCs/>
          <w:sz w:val="21"/>
          <w:szCs w:val="21"/>
          <w:lang w:val="zh-CN"/>
        </w:rPr>
        <w:t xml:space="preserve">间</w:t>
      </w:r>
      <w:r>
        <w:rPr>
          <w:rFonts w:ascii="宋体" w:hAnsi="宋体" w:eastAsia="宋体" w:cs="宋体"/>
          <w:bCs/>
          <w:sz w:val="21"/>
          <w:szCs w:val="21"/>
          <w:lang w:val="zh-CN"/>
        </w:rPr>
        <w:t xml:space="preserve">保障人</w:t>
      </w:r>
      <w:r>
        <w:rPr>
          <w:rFonts w:hint="eastAsia" w:ascii="宋体" w:hAnsi="宋体" w:eastAsia="宋体" w:cs="宋体"/>
          <w:bCs/>
          <w:sz w:val="21"/>
          <w:szCs w:val="21"/>
          <w:lang w:val="zh-CN"/>
        </w:rPr>
        <w:t xml:space="preserve">员</w:t>
      </w:r>
      <w:r>
        <w:rPr>
          <w:rFonts w:ascii="宋体" w:hAnsi="宋体" w:eastAsia="宋体" w:cs="宋体"/>
          <w:bCs/>
          <w:sz w:val="21"/>
          <w:szCs w:val="21"/>
          <w:lang w:val="zh-CN"/>
        </w:rPr>
        <w:t xml:space="preserve">的行程等相关信息</w:t>
      </w:r>
      <w:r>
        <w:rPr>
          <w:rFonts w:hint="eastAsia" w:ascii="宋体" w:hAnsi="宋体" w:eastAsia="宋体" w:cs="宋体"/>
          <w:bCs/>
          <w:sz w:val="21"/>
          <w:szCs w:val="21"/>
          <w:lang w:val="zh-CN"/>
        </w:rPr>
        <w:t xml:space="preserve">进</w:t>
      </w:r>
      <w:r>
        <w:rPr>
          <w:rFonts w:ascii="宋体" w:hAnsi="宋体" w:eastAsia="宋体" w:cs="宋体"/>
          <w:bCs/>
          <w:sz w:val="21"/>
          <w:szCs w:val="21"/>
          <w:lang w:val="zh-CN"/>
        </w:rPr>
        <w:t xml:space="preserve">行收集、</w:t>
      </w:r>
      <w:r>
        <w:rPr>
          <w:rFonts w:hint="eastAsia" w:ascii="宋体" w:hAnsi="宋体" w:eastAsia="宋体" w:cs="宋体"/>
          <w:bCs/>
          <w:sz w:val="21"/>
          <w:szCs w:val="21"/>
          <w:lang w:val="zh-CN"/>
        </w:rPr>
        <w:t xml:space="preserve">汇总</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发</w:t>
      </w:r>
      <w:r>
        <w:rPr>
          <w:rFonts w:ascii="宋体" w:hAnsi="宋体" w:eastAsia="宋体" w:cs="宋体"/>
          <w:bCs/>
          <w:sz w:val="21"/>
          <w:szCs w:val="21"/>
          <w:lang w:val="zh-CN"/>
        </w:rPr>
        <w:t xml:space="preserve">放</w:t>
      </w:r>
      <w:r>
        <w:rPr>
          <w:rFonts w:hint="eastAsia" w:ascii="宋体" w:hAnsi="宋体" w:eastAsia="宋体" w:cs="宋体"/>
          <w:bCs/>
          <w:sz w:val="21"/>
          <w:szCs w:val="21"/>
          <w:lang w:val="zh-CN"/>
        </w:rPr>
        <w:t xml:space="preserve">。</w:t>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8</w:t>
      </w:r>
      <w:r>
        <w:rPr>
          <w:rFonts w:hint="eastAsia" w:ascii="宋体" w:hAnsi="宋体" w:eastAsia="宋体" w:cs="宋体"/>
          <w:bCs/>
          <w:sz w:val="21"/>
          <w:szCs w:val="21"/>
          <w:lang w:val="zh-CN"/>
        </w:rPr>
        <w:t xml:space="preserve">）志愿者</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负责</w:t>
      </w:r>
      <w:r>
        <w:rPr>
          <w:rFonts w:ascii="宋体" w:hAnsi="宋体" w:eastAsia="宋体" w:cs="宋体"/>
          <w:bCs/>
          <w:sz w:val="21"/>
          <w:szCs w:val="21"/>
          <w:lang w:val="zh-CN"/>
        </w:rPr>
        <w:t xml:space="preserve">志愿者招募、培</w:t>
      </w:r>
      <w:r>
        <w:rPr>
          <w:rFonts w:hint="eastAsia" w:ascii="宋体" w:hAnsi="宋体" w:eastAsia="宋体" w:cs="宋体"/>
          <w:bCs/>
          <w:sz w:val="21"/>
          <w:szCs w:val="21"/>
          <w:lang w:val="zh-CN"/>
        </w:rPr>
        <w:t xml:space="preserve">训</w:t>
      </w:r>
      <w:r>
        <w:rPr>
          <w:rFonts w:ascii="宋体" w:hAnsi="宋体" w:eastAsia="宋体" w:cs="宋体"/>
          <w:bCs/>
          <w:sz w:val="21"/>
          <w:szCs w:val="21"/>
          <w:lang w:val="zh-CN"/>
        </w:rPr>
        <w:t xml:space="preserve">和服</w:t>
      </w:r>
      <w:r>
        <w:rPr>
          <w:rFonts w:hint="eastAsia" w:ascii="宋体" w:hAnsi="宋体" w:eastAsia="宋体" w:cs="宋体"/>
          <w:bCs/>
          <w:sz w:val="21"/>
          <w:szCs w:val="21"/>
          <w:lang w:val="zh-CN"/>
        </w:rPr>
        <w:t xml:space="preserve">务</w:t>
      </w:r>
      <w:r>
        <w:rPr>
          <w:rFonts w:ascii="宋体" w:hAnsi="宋体" w:eastAsia="宋体" w:cs="宋体"/>
          <w:bCs/>
          <w:sz w:val="21"/>
          <w:szCs w:val="21"/>
          <w:lang w:val="zh-CN"/>
        </w:rPr>
        <w:t xml:space="preserve">管理，主要包含志愿者</w:t>
      </w:r>
      <w:r>
        <w:rPr>
          <w:rFonts w:hint="eastAsia" w:ascii="宋体" w:hAnsi="宋体" w:eastAsia="宋体" w:cs="宋体"/>
          <w:bCs/>
          <w:sz w:val="21"/>
          <w:szCs w:val="21"/>
          <w:lang w:val="zh-CN"/>
        </w:rPr>
        <w:t xml:space="preserve">岗</w:t>
      </w:r>
      <w:r>
        <w:rPr>
          <w:rFonts w:ascii="宋体" w:hAnsi="宋体" w:eastAsia="宋体" w:cs="宋体"/>
          <w:bCs/>
          <w:sz w:val="21"/>
          <w:szCs w:val="21"/>
          <w:lang w:val="zh-CN"/>
        </w:rPr>
        <w:t xml:space="preserve">位分配、装</w:t>
      </w:r>
      <w:r>
        <w:rPr>
          <w:rFonts w:hint="eastAsia" w:ascii="宋体" w:hAnsi="宋体" w:eastAsia="宋体" w:cs="宋体"/>
          <w:bCs/>
          <w:sz w:val="21"/>
          <w:szCs w:val="21"/>
          <w:lang w:val="zh-CN"/>
        </w:rPr>
        <w:t xml:space="preserve">备</w:t>
      </w:r>
      <w:r>
        <w:rPr>
          <w:rFonts w:ascii="宋体" w:hAnsi="宋体" w:eastAsia="宋体" w:cs="宋体"/>
          <w:bCs/>
          <w:sz w:val="21"/>
          <w:szCs w:val="21"/>
          <w:lang w:val="zh-CN"/>
        </w:rPr>
        <w:t xml:space="preserve">管理</w:t>
      </w:r>
      <w:r>
        <w:rPr>
          <w:rFonts w:hint="eastAsia" w:ascii="宋体" w:hAnsi="宋体" w:eastAsia="宋体" w:cs="宋体"/>
          <w:bCs/>
          <w:sz w:val="21"/>
          <w:szCs w:val="21"/>
        </w:rPr>
        <w:t xml:space="preserve">等</w:t>
      </w:r>
      <w:r>
        <w:rPr>
          <w:rFonts w:hint="eastAsia" w:ascii="宋体" w:hAnsi="宋体" w:eastAsia="宋体" w:cs="宋体"/>
          <w:bCs/>
          <w:sz w:val="21"/>
          <w:szCs w:val="21"/>
          <w:lang w:val="zh-CN"/>
        </w:rPr>
        <w:t xml:space="preserve">。</w:t>
      </w:r>
      <w:r/>
    </w:p>
    <w:p>
      <w:pPr>
        <w:pStyle w:val="1021"/>
        <w:ind w:firstLine="48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9</w:t>
      </w:r>
      <w:r>
        <w:rPr>
          <w:rFonts w:hint="eastAsia" w:ascii="宋体" w:hAnsi="宋体" w:eastAsia="宋体" w:cs="宋体"/>
          <w:bCs/>
          <w:sz w:val="21"/>
          <w:szCs w:val="21"/>
          <w:lang w:val="zh-CN"/>
        </w:rPr>
        <w:t xml:space="preserve">）后勤保障：展会期间</w:t>
      </w:r>
      <w:r>
        <w:rPr>
          <w:rFonts w:ascii="宋体" w:hAnsi="宋体" w:eastAsia="宋体" w:cs="宋体"/>
          <w:bCs/>
          <w:sz w:val="21"/>
          <w:szCs w:val="21"/>
          <w:lang w:val="zh-CN"/>
        </w:rPr>
        <w:t xml:space="preserve">会</w:t>
      </w:r>
      <w:r>
        <w:rPr>
          <w:rFonts w:hint="eastAsia" w:ascii="宋体" w:hAnsi="宋体" w:eastAsia="宋体" w:cs="宋体"/>
          <w:bCs/>
          <w:sz w:val="21"/>
          <w:szCs w:val="21"/>
          <w:lang w:val="zh-CN"/>
        </w:rPr>
        <w:t xml:space="preserve">务</w:t>
      </w:r>
      <w:r>
        <w:rPr>
          <w:rFonts w:ascii="宋体" w:hAnsi="宋体" w:eastAsia="宋体" w:cs="宋体"/>
          <w:bCs/>
          <w:sz w:val="21"/>
          <w:szCs w:val="21"/>
          <w:lang w:val="zh-CN"/>
        </w:rPr>
        <w:t xml:space="preserve">手册、餐券、指示牌</w:t>
      </w:r>
      <w:r>
        <w:rPr>
          <w:rFonts w:hint="eastAsia" w:ascii="宋体" w:hAnsi="宋体" w:eastAsia="宋体" w:cs="宋体"/>
          <w:bCs/>
          <w:sz w:val="21"/>
          <w:szCs w:val="21"/>
          <w:lang w:val="zh-CN"/>
        </w:rPr>
        <w:t xml:space="preserve">、</w:t>
      </w:r>
      <w:r>
        <w:rPr>
          <w:rFonts w:hint="eastAsia" w:ascii="宋体" w:hAnsi="宋体" w:eastAsia="宋体" w:cs="宋体"/>
          <w:bCs/>
          <w:sz w:val="21"/>
          <w:szCs w:val="21"/>
          <w:lang w:val="zh-CN"/>
        </w:rPr>
        <w:t xml:space="preserve">证件</w:t>
      </w:r>
      <w:r>
        <w:rPr>
          <w:rFonts w:ascii="宋体" w:hAnsi="宋体" w:eastAsia="宋体" w:cs="宋体"/>
          <w:bCs/>
          <w:sz w:val="21"/>
          <w:szCs w:val="21"/>
          <w:lang w:val="zh-CN"/>
        </w:rPr>
        <w:t xml:space="preserve">等</w:t>
      </w:r>
      <w:r>
        <w:rPr>
          <w:rFonts w:hint="eastAsia" w:ascii="宋体" w:hAnsi="宋体" w:eastAsia="宋体" w:cs="宋体"/>
          <w:bCs/>
          <w:sz w:val="21"/>
          <w:szCs w:val="21"/>
          <w:lang w:val="zh-CN"/>
        </w:rPr>
        <w:t xml:space="preserve">设计</w:t>
      </w:r>
      <w:r>
        <w:rPr>
          <w:rFonts w:ascii="宋体" w:hAnsi="宋体" w:eastAsia="宋体" w:cs="宋体"/>
          <w:bCs/>
          <w:sz w:val="21"/>
          <w:szCs w:val="21"/>
          <w:lang w:val="zh-CN"/>
        </w:rPr>
        <w:t xml:space="preserve">、制作、分</w:t>
      </w:r>
      <w:r>
        <w:rPr>
          <w:rFonts w:hint="eastAsia" w:ascii="宋体" w:hAnsi="宋体" w:eastAsia="宋体" w:cs="宋体"/>
          <w:bCs/>
          <w:sz w:val="21"/>
          <w:szCs w:val="21"/>
          <w:lang w:val="zh-CN"/>
        </w:rPr>
        <w:t xml:space="preserve">发</w:t>
      </w:r>
      <w:r>
        <w:rPr>
          <w:rFonts w:ascii="宋体" w:hAnsi="宋体" w:eastAsia="宋体" w:cs="宋体"/>
          <w:bCs/>
          <w:sz w:val="21"/>
          <w:szCs w:val="21"/>
          <w:lang w:val="zh-CN"/>
        </w:rPr>
        <w:t xml:space="preserve">、配送等；集中</w:t>
      </w:r>
      <w:r>
        <w:rPr>
          <w:rFonts w:hint="eastAsia" w:ascii="宋体" w:hAnsi="宋体" w:eastAsia="宋体" w:cs="宋体"/>
          <w:bCs/>
          <w:sz w:val="21"/>
          <w:szCs w:val="21"/>
          <w:lang w:val="zh-CN"/>
        </w:rPr>
        <w:t xml:space="preserve">办</w:t>
      </w:r>
      <w:r>
        <w:rPr>
          <w:rFonts w:ascii="宋体" w:hAnsi="宋体" w:eastAsia="宋体" w:cs="宋体"/>
          <w:bCs/>
          <w:sz w:val="21"/>
          <w:szCs w:val="21"/>
          <w:lang w:val="zh-CN"/>
        </w:rPr>
        <w:t xml:space="preserve">公人</w:t>
      </w:r>
      <w:r>
        <w:rPr>
          <w:rFonts w:hint="eastAsia" w:ascii="宋体" w:hAnsi="宋体" w:eastAsia="宋体" w:cs="宋体"/>
          <w:bCs/>
          <w:sz w:val="21"/>
          <w:szCs w:val="21"/>
          <w:lang w:val="zh-CN"/>
        </w:rPr>
        <w:t xml:space="preserve">员</w:t>
      </w:r>
      <w:r>
        <w:rPr>
          <w:rFonts w:ascii="宋体" w:hAnsi="宋体" w:eastAsia="宋体" w:cs="宋体"/>
          <w:bCs/>
          <w:sz w:val="21"/>
          <w:szCs w:val="21"/>
          <w:lang w:val="zh-CN"/>
        </w:rPr>
        <w:t xml:space="preserve">（采</w:t>
      </w:r>
      <w:r>
        <w:rPr>
          <w:rFonts w:hint="eastAsia" w:ascii="宋体" w:hAnsi="宋体" w:eastAsia="宋体" w:cs="宋体"/>
          <w:bCs/>
          <w:sz w:val="21"/>
          <w:szCs w:val="21"/>
          <w:lang w:val="zh-CN"/>
        </w:rPr>
        <w:t xml:space="preserve">购单</w:t>
      </w:r>
      <w:r>
        <w:rPr>
          <w:rFonts w:ascii="宋体" w:hAnsi="宋体" w:eastAsia="宋体" w:cs="宋体"/>
          <w:bCs/>
          <w:sz w:val="21"/>
          <w:szCs w:val="21"/>
          <w:lang w:val="zh-CN"/>
        </w:rPr>
        <w:t xml:space="preserve">位）</w:t>
      </w:r>
      <w:r>
        <w:rPr>
          <w:rFonts w:hint="eastAsia" w:ascii="宋体" w:hAnsi="宋体" w:eastAsia="宋体" w:cs="宋体"/>
          <w:bCs/>
          <w:sz w:val="21"/>
          <w:szCs w:val="21"/>
          <w:lang w:val="zh-CN"/>
        </w:rPr>
        <w:t xml:space="preserve">办</w:t>
      </w:r>
      <w:r>
        <w:rPr>
          <w:rFonts w:ascii="宋体" w:hAnsi="宋体" w:eastAsia="宋体" w:cs="宋体"/>
          <w:bCs/>
          <w:sz w:val="21"/>
          <w:szCs w:val="21"/>
          <w:lang w:val="zh-CN"/>
        </w:rPr>
        <w:t xml:space="preserve">公</w:t>
      </w:r>
      <w:r>
        <w:rPr>
          <w:rFonts w:hint="eastAsia" w:ascii="宋体" w:hAnsi="宋体" w:eastAsia="宋体" w:cs="宋体"/>
          <w:bCs/>
          <w:sz w:val="21"/>
          <w:szCs w:val="21"/>
          <w:lang w:val="zh-CN"/>
        </w:rPr>
        <w:t xml:space="preserve">场</w:t>
      </w:r>
      <w:r>
        <w:rPr>
          <w:rFonts w:ascii="宋体" w:hAnsi="宋体" w:eastAsia="宋体" w:cs="宋体"/>
          <w:bCs/>
          <w:sz w:val="21"/>
          <w:szCs w:val="21"/>
          <w:lang w:val="zh-CN"/>
        </w:rPr>
        <w:t xml:space="preserve">地打印机、拖</w:t>
      </w:r>
      <w:r>
        <w:rPr>
          <w:rFonts w:hint="eastAsia" w:ascii="宋体" w:hAnsi="宋体" w:eastAsia="宋体" w:cs="宋体"/>
          <w:bCs/>
          <w:sz w:val="21"/>
          <w:szCs w:val="21"/>
          <w:lang w:val="zh-CN"/>
        </w:rPr>
        <w:t xml:space="preserve">线</w:t>
      </w:r>
      <w:r>
        <w:rPr>
          <w:rFonts w:ascii="宋体" w:hAnsi="宋体" w:eastAsia="宋体" w:cs="宋体"/>
          <w:bCs/>
          <w:sz w:val="21"/>
          <w:szCs w:val="21"/>
          <w:lang w:val="zh-CN"/>
        </w:rPr>
        <w:t xml:space="preserve">板、网</w:t>
      </w:r>
      <w:r>
        <w:rPr>
          <w:rFonts w:hint="eastAsia" w:ascii="宋体" w:hAnsi="宋体" w:eastAsia="宋体" w:cs="宋体"/>
          <w:bCs/>
          <w:sz w:val="21"/>
          <w:szCs w:val="21"/>
          <w:lang w:val="zh-CN"/>
        </w:rPr>
        <w:t xml:space="preserve">络</w:t>
      </w:r>
      <w:r>
        <w:rPr>
          <w:rFonts w:ascii="宋体" w:hAnsi="宋体" w:eastAsia="宋体" w:cs="宋体"/>
          <w:bCs/>
          <w:sz w:val="21"/>
          <w:szCs w:val="21"/>
          <w:lang w:val="zh-CN"/>
        </w:rPr>
        <w:t xml:space="preserve">、</w:t>
      </w:r>
      <w:r>
        <w:rPr>
          <w:rFonts w:hint="eastAsia" w:ascii="宋体" w:hAnsi="宋体" w:eastAsia="宋体" w:cs="宋体"/>
          <w:bCs/>
          <w:sz w:val="21"/>
          <w:szCs w:val="21"/>
          <w:lang w:val="zh-CN"/>
        </w:rPr>
        <w:t xml:space="preserve">纸</w:t>
      </w:r>
      <w:r>
        <w:rPr>
          <w:rFonts w:ascii="宋体" w:hAnsi="宋体" w:eastAsia="宋体" w:cs="宋体"/>
          <w:bCs/>
          <w:sz w:val="21"/>
          <w:szCs w:val="21"/>
          <w:lang w:val="zh-CN"/>
        </w:rPr>
        <w:t xml:space="preserve">、笔等</w:t>
      </w:r>
      <w:r>
        <w:rPr>
          <w:rFonts w:hint="eastAsia" w:ascii="宋体" w:hAnsi="宋体" w:eastAsia="宋体" w:cs="宋体"/>
          <w:bCs/>
          <w:sz w:val="21"/>
          <w:szCs w:val="21"/>
          <w:lang w:val="zh-CN"/>
        </w:rPr>
        <w:t xml:space="preserve">办</w:t>
      </w:r>
      <w:r>
        <w:rPr>
          <w:rFonts w:ascii="宋体" w:hAnsi="宋体" w:eastAsia="宋体" w:cs="宋体"/>
          <w:bCs/>
          <w:sz w:val="21"/>
          <w:szCs w:val="21"/>
          <w:lang w:val="zh-CN"/>
        </w:rPr>
        <w:t xml:space="preserve">公用品保障</w:t>
      </w:r>
      <w:r>
        <w:rPr>
          <w:rFonts w:hint="eastAsia" w:ascii="宋体" w:hAnsi="宋体" w:eastAsia="宋体" w:cs="宋体"/>
          <w:bCs/>
          <w:sz w:val="21"/>
          <w:szCs w:val="21"/>
          <w:lang w:val="zh-CN"/>
        </w:rPr>
        <w:t xml:space="preserve">。</w:t>
      </w:r>
      <w:r/>
    </w:p>
    <w:p>
      <w:pPr>
        <w:pStyle w:val="844"/>
        <w:ind w:firstLine="480"/>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0</w:t>
      </w:r>
      <w:r>
        <w:rPr>
          <w:rFonts w:ascii="宋体" w:hAnsi="宋体" w:eastAsia="宋体"/>
          <w:bCs/>
          <w:sz w:val="21"/>
          <w:szCs w:val="21"/>
        </w:rPr>
        <w:t xml:space="preserve">）配合</w:t>
      </w:r>
      <w:r>
        <w:rPr>
          <w:rFonts w:hint="eastAsia" w:ascii="宋体" w:hAnsi="宋体" w:eastAsia="宋体"/>
          <w:bCs/>
          <w:sz w:val="21"/>
          <w:szCs w:val="21"/>
        </w:rPr>
        <w:t xml:space="preserve">采购单位</w:t>
      </w:r>
      <w:r>
        <w:rPr>
          <w:rFonts w:ascii="宋体" w:hAnsi="宋体" w:eastAsia="宋体"/>
          <w:bCs/>
          <w:sz w:val="21"/>
          <w:szCs w:val="21"/>
        </w:rPr>
        <w:t xml:space="preserve">做好其他接待保障工作。</w:t>
      </w:r>
      <w:r>
        <w:rPr>
          <w:rFonts w:hint="eastAsia" w:ascii="宋体" w:hAnsi="宋体" w:eastAsia="宋体"/>
          <w:bCs/>
          <w:sz w:val="21"/>
          <w:szCs w:val="21"/>
        </w:rPr>
      </w:r>
      <w:r/>
    </w:p>
    <w:p>
      <w:pPr>
        <w:pStyle w:val="84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4.其他相关工作</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（1）按照采购单位要求，提供农洽会各类宣传推广方案</w:t>
      </w:r>
      <w:r>
        <w:rPr>
          <w:rFonts w:ascii="宋体" w:hAnsi="宋体" w:eastAsia="宋体"/>
          <w:bCs/>
          <w:sz w:val="21"/>
          <w:szCs w:val="21"/>
        </w:rPr>
        <w:t xml:space="preserve">包括但不限于宣传策略、推广排期、媒体资源等，</w:t>
      </w:r>
      <w:r>
        <w:rPr>
          <w:rFonts w:hint="eastAsia" w:ascii="宋体" w:hAnsi="宋体" w:eastAsia="宋体"/>
          <w:bCs/>
          <w:sz w:val="21"/>
          <w:szCs w:val="21"/>
        </w:rPr>
        <w:t xml:space="preserve">实现展会有效引流。</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（2）配备人员及要求：</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①配备人员：项目负责人1名；其他团队人员若干。</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②配备人员要求：所有配备人员需专职于本项目；且具有实施本项目相关经验和能力；响应文件中需列明各项专职人员，以及具体岗位、具体负责事宜。</w:t>
      </w:r>
      <w:r/>
    </w:p>
    <w:p>
      <w:pPr>
        <w:pStyle w:val="844"/>
        <w:ind w:firstLine="420"/>
        <w:spacing w:line="360" w:lineRule="auto"/>
        <w:rPr>
          <w:rFonts w:hint="eastAsia" w:ascii="宋体" w:hAnsi="宋体" w:eastAsia="宋体"/>
          <w:sz w:val="21"/>
          <w:szCs w:val="21"/>
        </w:rPr>
      </w:pPr>
      <w:r>
        <w:rPr>
          <w:rFonts w:hint="eastAsia" w:ascii="宋体" w:hAnsi="宋体" w:eastAsia="宋体"/>
          <w:bCs/>
          <w:sz w:val="21"/>
          <w:szCs w:val="21"/>
        </w:rPr>
        <w:t xml:space="preserve">③开展各项保障服务过程中，配备人员具体行为必须符合相关法律法规、政策及项目文件要求规定；各项工作计划需提前书面报备采购单位确认，经采购单位确认后方可组织实施。</w:t>
      </w:r>
      <w:r>
        <w:rPr>
          <w:rFonts w:hint="eastAsia" w:ascii="宋体" w:hAnsi="宋体" w:eastAsia="宋体"/>
          <w:sz w:val="21"/>
          <w:szCs w:val="21"/>
        </w:rPr>
      </w:r>
      <w:r/>
    </w:p>
    <w:p>
      <w:pPr>
        <w:pStyle w:val="844"/>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w:t>
      </w:r>
      <w:r>
        <w:rPr>
          <w:rFonts w:hint="eastAsia" w:ascii="宋体" w:hAnsi="宋体" w:eastAsia="宋体" w:cs="宋体"/>
          <w:bCs/>
          <w:sz w:val="21"/>
          <w:szCs w:val="21"/>
        </w:rPr>
        <w:t xml:space="preserve">.2具有良好的商业信誉和健全的财务会计制度证明</w:t>
      </w:r>
      <w:r>
        <w:rPr>
          <w:rFonts w:hint="eastAsia" w:ascii="宋体" w:hAnsi="宋体" w:eastAsia="宋体" w:cs="宋体"/>
          <w:b/>
          <w:sz w:val="21"/>
          <w:szCs w:val="21"/>
        </w:rPr>
        <w:t xml:space="preserve">（包括但不限于最近一期经审计的财务报告，其他组织、自然人及成立未满一年的法人应提供银行出具的资信证明）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863"/>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3.7《中小企业声明函》或《残疾人福利性单位声明函》或由省级以上监狱管理局、戒毒管理局（含新疆生产建设兵团）出具的属于监狱企业的证明文件；</w:t>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3.8其它有关资格证明的文件；</w:t>
      </w:r>
      <w:r>
        <w:rPr>
          <w:rFonts w:ascii="宋体" w:hAnsi="宋体" w:eastAsia="宋体" w:cs="宋体"/>
          <w:bCs/>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863"/>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4.5其他有关符合性证明的文件；</w:t>
      </w:r>
      <w:r>
        <w:rPr>
          <w:rFonts w:ascii="宋体" w:hAnsi="宋体" w:eastAsia="宋体" w:cs="宋体"/>
          <w:sz w:val="21"/>
          <w:szCs w:val="21"/>
        </w:rPr>
      </w:r>
      <w:r/>
    </w:p>
    <w:p>
      <w:pPr>
        <w:pStyle w:val="863"/>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ascii="宋体" w:hAnsi="宋体" w:eastAsia="宋体" w:cs="宋体"/>
          <w:sz w:val="21"/>
          <w:szCs w:val="21"/>
        </w:rPr>
      </w:r>
      <w:r/>
    </w:p>
    <w:p>
      <w:pPr>
        <w:pStyle w:val="863"/>
        <w:spacing w:line="360" w:lineRule="auto"/>
        <w:rPr>
          <w:rFonts w:ascii="宋体" w:hAnsi="宋体" w:eastAsia="宋体" w:cs="宋体"/>
          <w:sz w:val="21"/>
          <w:szCs w:val="21"/>
          <w:highlight w:val="yellow"/>
        </w:rPr>
      </w:pPr>
      <w:r>
        <w:rPr>
          <w:rFonts w:hint="eastAsia" w:ascii="宋体" w:hAnsi="宋体" w:eastAsia="宋体" w:cs="宋体"/>
          <w:sz w:val="21"/>
          <w:szCs w:val="21"/>
        </w:rPr>
        <w:t xml:space="preserve">5.1服务方案</w:t>
      </w:r>
      <w:r>
        <w:rPr>
          <w:rFonts w:ascii="宋体" w:hAnsi="宋体" w:eastAsia="宋体" w:cs="宋体"/>
          <w:sz w:val="21"/>
          <w:szCs w:val="21"/>
          <w:highlight w:val="yellow"/>
        </w:rPr>
      </w:r>
      <w:r/>
    </w:p>
    <w:p>
      <w:pPr>
        <w:pStyle w:val="863"/>
        <w:spacing w:line="360" w:lineRule="auto"/>
        <w:rPr>
          <w:rFonts w:ascii="宋体" w:hAnsi="宋体" w:eastAsia="宋体" w:cs="宋体"/>
          <w:sz w:val="21"/>
          <w:szCs w:val="21"/>
          <w:highlight w:val="yellow"/>
        </w:rPr>
      </w:pPr>
      <w:r>
        <w:rPr>
          <w:rFonts w:hint="eastAsia" w:ascii="宋体" w:hAnsi="宋体" w:eastAsia="宋体" w:cs="宋体"/>
          <w:sz w:val="21"/>
          <w:szCs w:val="21"/>
        </w:rPr>
        <w:t xml:space="preserve">5.2人员配备情况</w:t>
      </w:r>
      <w:r>
        <w:rPr>
          <w:rFonts w:ascii="宋体" w:hAnsi="宋体" w:eastAsia="宋体" w:cs="宋体"/>
          <w:sz w:val="21"/>
          <w:szCs w:val="21"/>
          <w:highlight w:val="yellow"/>
        </w:rPr>
      </w:r>
      <w:r/>
    </w:p>
    <w:p>
      <w:pPr>
        <w:pStyle w:val="863"/>
        <w:spacing w:line="360" w:lineRule="auto"/>
        <w:rPr>
          <w:rFonts w:hint="eastAsia" w:ascii="宋体" w:hAnsi="宋体" w:eastAsia="宋体" w:cs="宋体"/>
          <w:sz w:val="21"/>
          <w:szCs w:val="21"/>
        </w:rPr>
      </w:pPr>
      <w:r>
        <w:rPr>
          <w:rFonts w:hint="eastAsia" w:ascii="宋体" w:hAnsi="宋体" w:eastAsia="宋体" w:cs="宋体"/>
          <w:sz w:val="21"/>
          <w:szCs w:val="21"/>
        </w:rPr>
        <w:t xml:space="preserve">5.3响应单位履约能力</w:t>
      </w:r>
      <w:r>
        <w:rPr>
          <w:rFonts w:hint="eastAsia"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5.4与本次采购相关的其他证明材料；</w:t>
      </w:r>
      <w:r>
        <w:rPr>
          <w:rFonts w:ascii="宋体" w:hAnsi="宋体" w:eastAsia="宋体" w:cs="宋体"/>
          <w:sz w:val="21"/>
          <w:szCs w:val="21"/>
        </w:rPr>
      </w:r>
      <w:r/>
    </w:p>
    <w:p>
      <w:pPr>
        <w:pStyle w:val="863"/>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3.8为资格审查要求提供的材料，是作为对供应商资格审查、质疑身份认定的依据，响应供应商必须提供并加盖电子公章。否则，磋商响应文件将被认定为不符合资格审查要求。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863"/>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（2）以上4.1-4.5为符合性审查须提供的资料，响应供应商必须提供并加盖电子公章。否则，磋商响应文件将被认定为未实质性响应。</w:t>
      </w:r>
      <w:r>
        <w:rPr>
          <w:rFonts w:ascii="宋体" w:hAnsi="宋体" w:eastAsia="宋体"/>
          <w:sz w:val="21"/>
          <w:szCs w:val="21"/>
        </w:rPr>
      </w:r>
      <w:r/>
    </w:p>
    <w:p>
      <w:pPr>
        <w:pStyle w:val="863"/>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863"/>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863"/>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844"/>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w:t>
      </w:r>
      <w:r>
        <w:rPr>
          <w:rFonts w:hint="eastAsia" w:ascii="宋体" w:hAnsi="宋体" w:eastAsia="宋体" w:cs="宋体"/>
          <w:sz w:val="21"/>
          <w:szCs w:val="21"/>
        </w:rPr>
        <w:t xml:space="preserve">公章。</w:t>
      </w:r>
      <w:r>
        <w:rPr>
          <w:rFonts w:ascii="宋体" w:hAnsi="宋体" w:eastAsia="宋体" w:cs="宋体"/>
          <w:sz w:val="21"/>
          <w:szCs w:val="21"/>
        </w:rPr>
      </w:r>
      <w:r/>
    </w:p>
    <w:p>
      <w:pPr>
        <w:pStyle w:val="1017"/>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863"/>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w:t>
      </w:r>
      <w:r>
        <w:rPr>
          <w:rFonts w:hint="eastAsia" w:ascii="宋体" w:hAnsi="宋体" w:eastAsia="宋体" w:cs="宋体"/>
          <w:b/>
          <w:sz w:val="21"/>
          <w:szCs w:val="21"/>
        </w:rPr>
        <w:t xml:space="preserve">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863"/>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863"/>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1017"/>
        <w:ind w:left="0" w:firstLine="422"/>
        <w:spacing w:line="360" w:lineRule="auto"/>
        <w:rPr>
          <w:rFonts w:hint="eastAsia" w:ascii="宋体" w:hAnsi="宋体" w:cs="宋体"/>
          <w:b/>
          <w:color w:val="000000"/>
          <w:sz w:val="21"/>
          <w:szCs w:val="21"/>
        </w:rPr>
      </w:pPr>
      <w:r/>
      <w:bookmarkStart w:id="57"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1017"/>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1017"/>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（1）响应报价低于采购项目预算50%的，即响应报价&lt;采购项目预算×50%；</w:t>
      </w:r>
      <w:r>
        <w:rPr>
          <w:rFonts w:hint="eastAsia" w:ascii="宋体" w:hAnsi="宋体" w:cs="宋体"/>
          <w:b/>
          <w:color w:val="000000"/>
          <w:sz w:val="21"/>
          <w:szCs w:val="21"/>
        </w:rPr>
      </w:r>
      <w:r/>
    </w:p>
    <w:p>
      <w:pPr>
        <w:pStyle w:val="1017"/>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（2）响应报价低于采购项目最高限价45%的，即响应报价&lt;采购项目最高限价×45%；</w:t>
      </w:r>
      <w:r>
        <w:rPr>
          <w:rFonts w:hint="eastAsia" w:ascii="宋体" w:hAnsi="宋体" w:cs="宋体"/>
          <w:b/>
          <w:color w:val="000000"/>
          <w:sz w:val="21"/>
          <w:szCs w:val="21"/>
        </w:rPr>
      </w:r>
      <w:r/>
    </w:p>
    <w:p>
      <w:pPr>
        <w:pStyle w:val="1017"/>
        <w:ind w:left="0" w:firstLine="422"/>
        <w:spacing w:line="360" w:lineRule="auto"/>
        <w:rPr>
          <w:rFonts w:hint="eastAsia" w:ascii="宋体" w:hAnsi="宋体" w:cs="宋体"/>
          <w:b/>
          <w:color w:val="000000"/>
          <w:sz w:val="21"/>
          <w:szCs w:val="21"/>
        </w:rPr>
      </w:pPr>
      <w:r>
        <w:rPr>
          <w:rFonts w:hint="eastAsia" w:ascii="宋体" w:hAnsi="宋体" w:cs="宋体"/>
          <w:b/>
          <w:color w:val="000000"/>
          <w:sz w:val="21"/>
          <w:szCs w:val="21"/>
          <w:lang w:val="en-US"/>
        </w:rPr>
        <w:t xml:space="preserve">（3）</w:t>
      </w:r>
      <w:bookmarkStart w:id="58" w:name="OLE_LINK2"/>
      <w:r/>
      <w:bookmarkStart w:id="59" w:name="OLE_LINK15"/>
      <w:r/>
      <w:bookmarkStart w:id="60" w:name="OLE_LINK14"/>
      <w:r>
        <w:rPr>
          <w:rFonts w:hint="eastAsia" w:ascii="宋体" w:hAnsi="宋体" w:cs="宋体"/>
          <w:b/>
          <w:color w:val="000000"/>
          <w:sz w:val="21"/>
          <w:szCs w:val="21"/>
          <w:lang w:val="en-US"/>
        </w:rPr>
        <w:t xml:space="preserve">磋商小组</w:t>
      </w:r>
      <w:bookmarkEnd w:id="58"/>
      <w:r/>
      <w:bookmarkEnd w:id="59"/>
      <w:r/>
      <w:bookmarkEnd w:id="60"/>
      <w:r>
        <w:rPr>
          <w:rFonts w:hint="eastAsia" w:ascii="宋体" w:hAnsi="宋体" w:cs="宋体"/>
          <w:b/>
          <w:color w:val="000000"/>
          <w:sz w:val="21"/>
          <w:szCs w:val="21"/>
          <w:lang w:val="en-US"/>
        </w:rPr>
        <w:t xml:space="preserve">认定的供应商报价过低、有可能影响产品质量或者不能诚信履约的其他情形。</w:t>
      </w:r>
      <w:r>
        <w:rPr>
          <w:rFonts w:hint="eastAsia" w:ascii="宋体" w:hAnsi="宋体" w:cs="宋体"/>
          <w:b/>
          <w:color w:val="000000"/>
          <w:sz w:val="21"/>
          <w:szCs w:val="21"/>
        </w:rPr>
      </w:r>
      <w:r/>
    </w:p>
    <w:p>
      <w:pPr>
        <w:pStyle w:val="1017"/>
        <w:ind w:left="0" w:firstLine="422"/>
        <w:spacing w:line="360" w:lineRule="auto"/>
        <w:rPr>
          <w:rFonts w:hint="eastAsia" w:ascii="宋体" w:hAnsi="宋体" w:cs="宋体"/>
          <w:b/>
          <w:color w:val="000000"/>
          <w:sz w:val="21"/>
          <w:szCs w:val="21"/>
        </w:rPr>
      </w:pPr>
      <w:r/>
      <w:bookmarkStart w:id="61" w:name="OLE_LINK4"/>
      <w:r/>
      <w:bookmarkStart w:id="62" w:name="OLE_LINK3"/>
      <w:r>
        <w:rPr>
          <w:rFonts w:ascii="宋体" w:hAnsi="宋体"/>
          <w:b/>
          <w:color w:val="000000"/>
          <w:sz w:val="21"/>
          <w:szCs w:val="21"/>
        </w:rPr>
        <w:t xml:space="preserve">11.2</w:t>
      </w:r>
      <w:r>
        <w:rPr>
          <w:rFonts w:hint="eastAsia" w:ascii="宋体" w:hAnsi="宋体"/>
          <w:b/>
          <w:color w:val="000000"/>
          <w:sz w:val="21"/>
          <w:szCs w:val="21"/>
        </w:rPr>
        <w:t xml:space="preserve">启动异常低</w:t>
      </w:r>
      <w:r>
        <w:rPr>
          <w:rFonts w:hint="eastAsia" w:ascii="宋体" w:hAnsi="宋体"/>
          <w:b/>
          <w:color w:val="000000"/>
          <w:sz w:val="21"/>
          <w:szCs w:val="21"/>
        </w:rPr>
        <w:t xml:space="preserve">价响应审查后，</w:t>
      </w:r>
      <w:r>
        <w:rPr>
          <w:rFonts w:hint="eastAsia" w:ascii="宋体" w:hAnsi="宋体" w:cs="宋体"/>
          <w:b/>
          <w:color w:val="000000"/>
          <w:sz w:val="21"/>
          <w:szCs w:val="21"/>
          <w:lang w:val="en-US"/>
        </w:rPr>
        <w:t xml:space="preserve">磋商小组</w:t>
      </w:r>
      <w:r>
        <w:rPr>
          <w:rFonts w:hint="eastAsia" w:ascii="宋体" w:hAnsi="宋体"/>
          <w:b/>
          <w:color w:val="000000"/>
          <w:sz w:val="21"/>
          <w:szCs w:val="21"/>
        </w:rPr>
        <w:t xml:space="preserve">应当要求相关供应商在评审现场合理的时间内，提供项目具体成本测算等与报价合理性相关的书面说明及相关证明材料</w:t>
      </w:r>
      <w:bookmarkStart w:id="63" w:name="OLE_LINK9"/>
      <w:r/>
      <w:bookmarkStart w:id="64" w:name="OLE_LINK10"/>
      <w:r>
        <w:rPr>
          <w:rFonts w:hint="eastAsia" w:ascii="宋体" w:hAnsi="宋体"/>
          <w:b/>
          <w:color w:val="000000"/>
          <w:sz w:val="21"/>
          <w:szCs w:val="21"/>
        </w:rPr>
        <w:t xml:space="preserve">，</w:t>
      </w:r>
      <w:bookmarkEnd w:id="63"/>
      <w:r/>
      <w:bookmarkEnd w:id="64"/>
      <w:r>
        <w:rPr>
          <w:rFonts w:hint="eastAsia" w:ascii="宋体" w:hAnsi="宋体"/>
          <w:b/>
          <w:color w:val="000000"/>
          <w:sz w:val="21"/>
          <w:szCs w:val="21"/>
        </w:rPr>
        <w:t xml:space="preserve">对响应价格作出解释，由</w:t>
      </w:r>
      <w:r>
        <w:rPr>
          <w:rFonts w:hint="eastAsia" w:ascii="宋体" w:hAnsi="宋体" w:cs="宋体"/>
          <w:b/>
          <w:color w:val="000000"/>
          <w:sz w:val="21"/>
          <w:szCs w:val="21"/>
          <w:lang w:val="en-US"/>
        </w:rPr>
        <w:t xml:space="preserve">磋商小组</w:t>
      </w:r>
      <w:r>
        <w:rPr>
          <w:rFonts w:hint="eastAsia" w:ascii="宋体" w:hAnsi="宋体"/>
          <w:b/>
          <w:color w:val="000000"/>
          <w:sz w:val="21"/>
          <w:szCs w:val="21"/>
        </w:rPr>
        <w:t xml:space="preserve">结合同类产品在主要电商平台的价格、该行业当地</w:t>
      </w:r>
      <w:bookmarkStart w:id="65" w:name="OLE_LINK7"/>
      <w:r/>
      <w:bookmarkStart w:id="66" w:name="OLE_LINK8"/>
      <w:r>
        <w:rPr>
          <w:rFonts w:hint="eastAsia" w:ascii="宋体" w:hAnsi="宋体"/>
          <w:b/>
          <w:color w:val="000000"/>
          <w:sz w:val="21"/>
          <w:szCs w:val="21"/>
        </w:rPr>
        <w:t xml:space="preserve">薪资</w:t>
      </w:r>
      <w:bookmarkEnd w:id="65"/>
      <w:r/>
      <w:bookmarkEnd w:id="66"/>
      <w:r>
        <w:rPr>
          <w:rFonts w:hint="eastAsia" w:ascii="宋体" w:hAnsi="宋体"/>
          <w:b/>
          <w:color w:val="000000"/>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sz w:val="21"/>
          <w:szCs w:val="21"/>
          <w:lang w:val="en-US"/>
        </w:rPr>
        <w:t xml:space="preserve">磋商小组</w:t>
      </w:r>
      <w:r>
        <w:rPr>
          <w:rFonts w:hint="eastAsia" w:ascii="宋体" w:hAnsi="宋体"/>
          <w:b/>
          <w:color w:val="000000"/>
          <w:sz w:val="21"/>
          <w:szCs w:val="21"/>
        </w:rPr>
        <w:t xml:space="preserve">应当将其作为无效响应处理。审查相关情况应当在评审报告中进行记录。</w:t>
      </w:r>
      <w:bookmarkEnd w:id="57"/>
      <w:r/>
      <w:bookmarkEnd w:id="61"/>
      <w:r/>
      <w:bookmarkEnd w:id="62"/>
      <w:r>
        <w:rPr>
          <w:rFonts w:hint="eastAsia" w:ascii="宋体" w:hAnsi="宋体" w:cs="宋体"/>
          <w:b/>
          <w:color w:val="000000"/>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844"/>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w:t>
      </w:r>
      <w:r>
        <w:rPr>
          <w:rFonts w:hint="eastAsia" w:ascii="宋体" w:hAnsi="宋体" w:eastAsia="宋体" w:cs="宋体"/>
          <w:sz w:val="21"/>
          <w:szCs w:val="21"/>
        </w:rPr>
        <w:t xml:space="preserve">购程序环节的质疑。</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863"/>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863"/>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w:t>
      </w:r>
      <w:r>
        <w:rPr>
          <w:rFonts w:hint="eastAsia" w:ascii="宋体" w:hAnsi="宋体" w:eastAsia="宋体"/>
          <w:sz w:val="21"/>
          <w:szCs w:val="21"/>
        </w:rPr>
        <w:t xml:space="preserve">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844"/>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844"/>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844"/>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成交单位如在实施的过程中出现错误，误差，需负责及时更正直至采购单位确认合格，成交单位在项目进行过程中产生的任何安全、损坏等责任事故一律由成交单位自行承担。</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w:t>
      </w:r>
      <w:r>
        <w:rPr>
          <w:rFonts w:hint="eastAsia" w:ascii="宋体" w:hAnsi="宋体" w:eastAsia="宋体"/>
          <w:sz w:val="21"/>
          <w:szCs w:val="21"/>
        </w:rPr>
        <w:t xml:space="preserve">应时，应在文件中逐条列出，未列出的视同响应。</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3、服务费</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（1）成交单位须按前附表的规定计算并支付服务费，该费用应在领取成交通知书时付清。</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（2）成交单位如果未按规定缴纳服务费，磋商采购单位将不予退还其磋商保证金，并保留诉讼的权利。</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1"/>
          <w:szCs w:val="21"/>
        </w:rPr>
      </w:r>
      <w:r/>
    </w:p>
    <w:p>
      <w:pPr>
        <w:pStyle w:val="844"/>
        <w:jc w:val="center"/>
        <w:rPr>
          <w:rFonts w:ascii="宋体" w:hAnsi="宋体" w:eastAsia="宋体"/>
          <w:b/>
          <w:bCs/>
          <w:sz w:val="21"/>
          <w:szCs w:val="21"/>
        </w:rPr>
      </w:pPr>
      <w:r>
        <w:rPr>
          <w:rFonts w:hint="eastAsia" w:ascii="宋体" w:hAnsi="宋体" w:eastAsia="宋体"/>
          <w:b/>
          <w:bCs/>
          <w:sz w:val="21"/>
          <w:szCs w:val="21"/>
        </w:rPr>
        <w:t xml:space="preserve">开票信息</w:t>
      </w:r>
      <w:r>
        <w:rPr>
          <w:rFonts w:ascii="宋体" w:hAnsi="宋体" w:eastAsia="宋体"/>
          <w:b/>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报名单位名称</w:t>
            </w:r>
            <w:r>
              <w:rPr>
                <w:rFonts w:ascii="宋体" w:hAnsi="宋体" w:eastAsia="宋体"/>
                <w:sz w:val="21"/>
                <w:szCs w:val="21"/>
              </w:rPr>
            </w:r>
            <w:r/>
          </w:p>
        </w:tc>
        <w:tc>
          <w:tcPr>
            <w:tcW w:w="3990" w:type="dxa"/>
            <w:vAlign w:val="top"/>
            <w:textDirection w:val="lrTb"/>
            <w:noWrap w:val="false"/>
          </w:tcPr>
          <w:p>
            <w:pPr>
              <w:pStyle w:val="844"/>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r>
            <w:r/>
          </w:p>
        </w:tc>
        <w:tc>
          <w:tcPr>
            <w:tcW w:w="3990" w:type="dxa"/>
            <w:vAlign w:val="top"/>
            <w:textDirection w:val="lrTb"/>
            <w:noWrap w:val="false"/>
          </w:tcPr>
          <w:p>
            <w:pPr>
              <w:pStyle w:val="844"/>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r>
            <w:r/>
          </w:p>
        </w:tc>
        <w:tc>
          <w:tcPr>
            <w:tcW w:w="3990" w:type="dxa"/>
            <w:vAlign w:val="top"/>
            <w:textDirection w:val="lrTb"/>
            <w:noWrap w:val="false"/>
          </w:tcPr>
          <w:p>
            <w:pPr>
              <w:pStyle w:val="844"/>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税号</w:t>
            </w:r>
            <w:r>
              <w:rPr>
                <w:rFonts w:ascii="宋体" w:hAnsi="宋体" w:eastAsia="宋体"/>
                <w:sz w:val="21"/>
                <w:szCs w:val="21"/>
              </w:rPr>
            </w:r>
            <w:r/>
          </w:p>
        </w:tc>
        <w:tc>
          <w:tcPr>
            <w:tcW w:w="3990" w:type="dxa"/>
            <w:vAlign w:val="top"/>
            <w:textDirection w:val="lrTb"/>
            <w:noWrap w:val="false"/>
          </w:tcPr>
          <w:p>
            <w:pPr>
              <w:pStyle w:val="844"/>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开户行</w:t>
            </w:r>
            <w:r>
              <w:rPr>
                <w:rFonts w:ascii="宋体" w:hAnsi="宋体" w:eastAsia="宋体"/>
                <w:sz w:val="21"/>
                <w:szCs w:val="21"/>
              </w:rPr>
            </w:r>
            <w:r/>
          </w:p>
        </w:tc>
        <w:tc>
          <w:tcPr>
            <w:tcW w:w="3990" w:type="dxa"/>
            <w:vAlign w:val="top"/>
            <w:textDirection w:val="lrTb"/>
            <w:noWrap w:val="false"/>
          </w:tcPr>
          <w:p>
            <w:pPr>
              <w:pStyle w:val="844"/>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银行账号</w:t>
            </w:r>
            <w:r>
              <w:rPr>
                <w:rFonts w:ascii="宋体" w:hAnsi="宋体" w:eastAsia="宋体"/>
                <w:sz w:val="21"/>
                <w:szCs w:val="21"/>
              </w:rPr>
            </w:r>
            <w:r/>
          </w:p>
        </w:tc>
        <w:tc>
          <w:tcPr>
            <w:tcW w:w="3990" w:type="dxa"/>
            <w:vAlign w:val="top"/>
            <w:textDirection w:val="lrTb"/>
            <w:noWrap w:val="false"/>
          </w:tcPr>
          <w:p>
            <w:pPr>
              <w:pStyle w:val="844"/>
              <w:rPr>
                <w:rFonts w:ascii="宋体" w:hAnsi="宋体" w:eastAsia="宋体"/>
                <w:sz w:val="21"/>
                <w:szCs w:val="21"/>
              </w:rPr>
            </w:pPr>
            <w:r>
              <w:rPr>
                <w:rFonts w:ascii="宋体" w:hAnsi="宋体" w:eastAsia="宋体"/>
                <w:sz w:val="21"/>
                <w:szCs w:val="21"/>
              </w:rPr>
            </w:r>
            <w:r/>
          </w:p>
        </w:tc>
      </w:tr>
    </w:tbl>
    <w:p>
      <w:pPr>
        <w:pStyle w:val="844"/>
        <w:ind w:firstLine="420"/>
        <w:spacing w:line="360" w:lineRule="auto"/>
        <w:rPr>
          <w:rFonts w:ascii="宋体" w:hAnsi="宋体" w:eastAsia="宋体"/>
          <w:b/>
          <w:sz w:val="21"/>
          <w:szCs w:val="21"/>
        </w:rPr>
      </w:pPr>
      <w:r>
        <w:rPr>
          <w:rFonts w:hint="eastAsia" w:ascii="宋体" w:hAnsi="宋体" w:eastAsia="宋体"/>
          <w:sz w:val="21"/>
          <w:szCs w:val="21"/>
        </w:rPr>
        <w:t xml:space="preserve">请成交单位将公司开票信息以word文档格式发送至邮箱：</w:t>
      </w:r>
      <w:r>
        <w:rPr>
          <w:rFonts w:ascii="宋体" w:hAnsi="宋体" w:eastAsia="宋体"/>
          <w:sz w:val="21"/>
          <w:szCs w:val="21"/>
        </w:rPr>
        <w:t xml:space="preserve">56169532</w:t>
      </w:r>
      <w:r>
        <w:rPr>
          <w:rFonts w:hint="eastAsia" w:ascii="宋体" w:hAnsi="宋体" w:eastAsia="宋体"/>
          <w:sz w:val="21"/>
          <w:szCs w:val="21"/>
        </w:rPr>
        <w:t xml:space="preserve">@qq.com。成交单位凭已缴纳代理服务费的银行回单至代理机构领取成交通知书、合同。</w:t>
      </w:r>
      <w:r>
        <w:rPr>
          <w:rFonts w:ascii="宋体" w:hAnsi="宋体" w:eastAsia="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844"/>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5、磋</w:t>
      </w:r>
      <w:r>
        <w:rPr>
          <w:rFonts w:hint="eastAsia" w:ascii="宋体" w:hAnsi="宋体" w:eastAsia="宋体"/>
          <w:sz w:val="21"/>
          <w:szCs w:val="21"/>
        </w:rPr>
        <w:t xml:space="preserve">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6、磋商供应商必须遵守中华人民共和国《劳动法》的规定，为采购人提供的服务人员如遇到工资纠纷问题由磋商响应单位自行解决。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7、投报总价应包括完成本项目所有服务内容、成本、人工、餐费、住宿、管理、代理服务费、保险、利润、税金、政策性文件规定及合同包含的所有风险、责任等各项应有费用。</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8、凡涉及采购文件的补充说明和修改，均以苏州政府采购网最后发布的内容为准。</w:t>
      </w:r>
      <w:r/>
    </w:p>
    <w:p>
      <w:pPr>
        <w:pStyle w:val="844"/>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w:t>
      </w:r>
      <w:r>
        <w:rPr>
          <w:rFonts w:hint="eastAsia" w:ascii="宋体" w:hAnsi="宋体" w:eastAsia="宋体"/>
          <w:b/>
          <w:bCs/>
          <w:sz w:val="21"/>
          <w:szCs w:val="21"/>
        </w:rPr>
        <w:t xml:space="preserve">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844"/>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w:t>
      </w:r>
      <w:r>
        <w:rPr>
          <w:rFonts w:hint="eastAsia" w:ascii="宋体" w:hAnsi="宋体" w:eastAsia="宋体"/>
          <w:sz w:val="21"/>
          <w:szCs w:val="21"/>
        </w:rPr>
        <w:t xml:space="preserve">企业</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w:t>
      </w:r>
      <w:r>
        <w:rPr>
          <w:rFonts w:hint="eastAsia" w:ascii="宋体" w:hAnsi="宋体" w:eastAsia="宋体"/>
          <w:sz w:val="21"/>
          <w:szCs w:val="21"/>
        </w:rPr>
        <w:t xml:space="preserve">有利于节约能源、环境保护和资源循环利用，按照标准要求实施相关采购活动，供应商应提供符合标准要求的设备或服务。</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844"/>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844"/>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844"/>
        <w:ind w:firstLine="420"/>
        <w:spacing w:line="360" w:lineRule="auto"/>
        <w:tabs>
          <w:tab w:val="left" w:pos="753" w:leader="none"/>
        </w:tabs>
        <w:rPr>
          <w:rFonts w:hint="eastAsia" w:ascii="宋体" w:hAnsi="宋体" w:eastAsia="宋体"/>
          <w:b/>
          <w:bCs/>
          <w:sz w:val="21"/>
          <w:szCs w:val="21"/>
        </w:rPr>
      </w:pPr>
      <w:r>
        <w:rPr>
          <w:rFonts w:hint="eastAsia" w:ascii="宋体" w:hAnsi="宋体" w:eastAsia="宋体" w:cs="宋体"/>
          <w:sz w:val="21"/>
          <w:szCs w:val="22"/>
        </w:rPr>
        <w:t xml:space="preserve">若供应商提供的声明函或认定证明为虚假材料，按“政府采购法”相关规定处理并报请政府监管部门给予行政处罚。</w:t>
      </w:r>
      <w:r>
        <w:rPr>
          <w:rFonts w:hint="eastAsia" w:ascii="宋体" w:hAnsi="宋体" w:eastAsia="宋体"/>
          <w:b/>
          <w:bCs/>
          <w:sz w:val="21"/>
          <w:szCs w:val="21"/>
        </w:rPr>
      </w:r>
      <w:r/>
    </w:p>
    <w:p>
      <w:pPr>
        <w:pStyle w:val="844"/>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w:t>
      </w:r>
      <w:r>
        <w:rPr>
          <w:rFonts w:hint="eastAsia" w:ascii="宋体" w:hAnsi="宋体" w:eastAsia="宋体"/>
          <w:sz w:val="21"/>
          <w:szCs w:val="21"/>
        </w:rPr>
        <w:t xml:space="preserve">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84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84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84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84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844"/>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w:t>
      </w:r>
      <w:r>
        <w:rPr>
          <w:rFonts w:hint="eastAsia" w:ascii="宋体" w:hAnsi="宋体" w:eastAsia="宋体" w:cs="宋体"/>
          <w:sz w:val="21"/>
          <w:szCs w:val="21"/>
          <w:lang w:val="zh-CN"/>
        </w:rPr>
        <w:t xml:space="preserve">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844"/>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5"/>
        <w:jc w:val="center"/>
        <w:spacing w:line="360" w:lineRule="auto"/>
        <w:rPr>
          <w:rFonts w:ascii="宋体" w:hAnsi="宋体" w:eastAsia="宋体"/>
          <w:sz w:val="52"/>
        </w:rPr>
      </w:pPr>
      <w:r/>
      <w:bookmarkStart w:id="67" w:name="_Toc1784"/>
      <w:r>
        <w:rPr>
          <w:rFonts w:hint="eastAsia" w:ascii="宋体" w:hAnsi="宋体" w:eastAsia="宋体"/>
          <w:sz w:val="52"/>
        </w:rPr>
        <w:t xml:space="preserve">第四章 合同主要条款</w:t>
      </w:r>
      <w:bookmarkEnd w:id="56"/>
      <w:r/>
      <w:bookmarkEnd w:id="67"/>
      <w:r>
        <w:rPr>
          <w:rFonts w:ascii="宋体" w:hAnsi="宋体" w:eastAsia="宋体"/>
          <w:sz w:val="52"/>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844"/>
        <w:ind w:firstLine="422"/>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根据苏州鸿鑫工程咨询有限公司采购编号</w:t>
      </w:r>
      <w:r>
        <w:rPr>
          <w:rFonts w:hint="eastAsia" w:ascii="宋体" w:hAnsi="宋体" w:eastAsia="宋体" w:cs="宋体"/>
          <w:color w:val="000000"/>
          <w:sz w:val="21"/>
          <w:szCs w:val="21"/>
        </w:rPr>
        <w:t xml:space="preserve">JSZC-320500-SZHX-C2025-0055</w:t>
      </w: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号采购文件及成交单位的响应文件和成交通知书，委托方（简称</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甲方</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）和受托供应商（简称</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乙方</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）双方就此次成交的第二十五届江苏农业国际合作洽谈会项目的成交事宜，签订本合同书，以资共同遵守。</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一、项目名称：第二十五届江苏农业国际合作洽谈会</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二、服务内容：</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三、合同价款及支付方式：</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合同价款为人民币：大写</w:t>
      </w:r>
      <w:r>
        <w:rPr>
          <w:rFonts w:ascii="宋体" w:hAnsi="宋体" w:eastAsia="宋体" w:cs="宋体"/>
          <w:sz w:val="21"/>
          <w:szCs w:val="21"/>
        </w:rPr>
        <w:t xml:space="preserve">(</w:t>
      </w:r>
      <w:r>
        <w:rPr>
          <w:rFonts w:hint="eastAsia" w:ascii="宋体" w:hAnsi="宋体" w:eastAsia="宋体" w:cs="宋体"/>
          <w:sz w:val="21"/>
          <w:szCs w:val="21"/>
        </w:rPr>
        <w:t xml:space="preserve">元整</w:t>
      </w:r>
      <w:r>
        <w:rPr>
          <w:rFonts w:ascii="宋体" w:hAnsi="宋体" w:eastAsia="宋体" w:cs="宋体"/>
          <w:sz w:val="21"/>
          <w:szCs w:val="21"/>
        </w:rPr>
        <w:t xml:space="preserve">)</w:t>
      </w:r>
      <w:r>
        <w:rPr>
          <w:rFonts w:hint="eastAsia" w:ascii="宋体" w:hAnsi="宋体" w:eastAsia="宋体" w:cs="宋体"/>
          <w:sz w:val="21"/>
          <w:szCs w:val="21"/>
        </w:rPr>
        <w:t xml:space="preserve">，小写</w:t>
      </w:r>
      <w:r>
        <w:rPr>
          <w:rFonts w:ascii="宋体" w:hAnsi="宋体" w:eastAsia="宋体" w:cs="宋体"/>
          <w:sz w:val="21"/>
          <w:szCs w:val="21"/>
        </w:rPr>
        <w:t xml:space="preserve">(</w:t>
      </w:r>
      <w:r>
        <w:rPr>
          <w:rFonts w:hint="eastAsia" w:ascii="宋体" w:hAnsi="宋体" w:eastAsia="宋体" w:cs="宋体"/>
          <w:sz w:val="21"/>
          <w:szCs w:val="21"/>
        </w:rPr>
        <w:t xml:space="preserve">元</w:t>
      </w:r>
      <w:r>
        <w:rPr>
          <w:rFonts w:ascii="宋体" w:hAnsi="宋体" w:eastAsia="宋体" w:cs="宋体"/>
          <w:sz w:val="21"/>
          <w:szCs w:val="21"/>
        </w:rPr>
        <w:t xml:space="preserve">)</w:t>
      </w:r>
      <w:r>
        <w:rPr>
          <w:rFonts w:hint="eastAsia" w:ascii="宋体" w:hAnsi="宋体" w:eastAsia="宋体" w:cs="宋体"/>
          <w:sz w:val="21"/>
          <w:szCs w:val="21"/>
        </w:rPr>
        <w:t xml:space="preserve">，包括完成服务内容所需要的一切费用，包括完成本项目所有服务内容、成本、人工、餐费、住宿、管理、代理服务费、保险、利润、税金、政策性文件规定及合同包含的所有风险、责任等各项应有费用。除本项目合同约定的价款外，甲方不再需向乙方支付其他任何费用。乙方所报价格在合同实施期间不因市场变化因素而变动。</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付款方式：</w:t>
      </w:r>
      <w:r>
        <w:rPr>
          <w:rFonts w:hint="eastAsia" w:ascii="宋体" w:hAnsi="宋体" w:eastAsia="宋体" w:cs="宋体"/>
          <w:sz w:val="21"/>
          <w:szCs w:val="21"/>
        </w:rPr>
        <w:t xml:space="preserve">签订合同后</w:t>
      </w:r>
      <w:r>
        <w:rPr>
          <w:rFonts w:ascii="宋体" w:hAnsi="宋体" w:eastAsia="宋体" w:cs="宋体"/>
          <w:sz w:val="21"/>
          <w:szCs w:val="21"/>
        </w:rPr>
        <w:t xml:space="preserve">10</w:t>
      </w:r>
      <w:r>
        <w:rPr>
          <w:rFonts w:hint="eastAsia" w:ascii="宋体" w:hAnsi="宋体" w:eastAsia="宋体" w:cs="宋体"/>
          <w:sz w:val="21"/>
          <w:szCs w:val="21"/>
        </w:rPr>
        <w:t xml:space="preserve">个工作日内，甲方预付合同总金额的</w:t>
      </w:r>
      <w:r>
        <w:rPr>
          <w:rFonts w:ascii="宋体" w:hAnsi="宋体" w:eastAsia="宋体" w:cs="宋体"/>
          <w:sz w:val="21"/>
          <w:szCs w:val="21"/>
        </w:rPr>
        <w:t xml:space="preserve">40%</w:t>
      </w:r>
      <w:r>
        <w:rPr>
          <w:rFonts w:hint="eastAsia" w:ascii="宋体" w:hAnsi="宋体" w:eastAsia="宋体" w:cs="宋体"/>
          <w:sz w:val="21"/>
          <w:szCs w:val="21"/>
        </w:rPr>
        <w:t xml:space="preserve">；乙方优化方案经甲方审核通过，甲方支付至合同总金额的</w:t>
      </w:r>
      <w:r>
        <w:rPr>
          <w:rFonts w:hint="eastAsia" w:ascii="宋体" w:hAnsi="宋体" w:eastAsia="宋体" w:cs="宋体"/>
          <w:sz w:val="21"/>
          <w:szCs w:val="21"/>
        </w:rPr>
        <w:t xml:space="preserve">7</w:t>
      </w:r>
      <w:r>
        <w:rPr>
          <w:rFonts w:ascii="宋体" w:hAnsi="宋体" w:eastAsia="宋体" w:cs="宋体"/>
          <w:sz w:val="21"/>
          <w:szCs w:val="21"/>
        </w:rPr>
        <w:t xml:space="preserve">0%</w:t>
      </w:r>
      <w:r>
        <w:rPr>
          <w:rFonts w:hint="eastAsia" w:ascii="宋体" w:hAnsi="宋体" w:eastAsia="宋体" w:cs="宋体"/>
          <w:sz w:val="21"/>
          <w:szCs w:val="21"/>
        </w:rPr>
        <w:t xml:space="preserve">款项；项目全部完成经甲方验收合格并经审计通过后按审定金额支付剩余尾款。</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根据现行税法对甲方征收的与本合同有关的一切税费均由甲方承担；根据现行税法对乙方征收的与本合同有关的一切税费均由乙方承担。</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确因甲方工作需要，甲方需要乙方完成一些突击工作，可另行协商。如：安排人员临时加班。</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支付方式：银行转账。</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四、甲方权利和义务：</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根据甲方采购要求及乙方响应文件中的承诺，对乙方提供的服务及行本合同情况实行验收考核。</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五、乙方权利和义务：</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乙方根据国家标准、行业标准和规范要求及标书规定的服务质量标准和有关要求，积极主动保质保量地完成服务工作。</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接受并主动配合甲方及行业主管部门的检查。</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服务范围之外的突击性、突发性工作，乙方须服从甲方的安排，不得无故拖延。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因乙方管理不善而损坏的硬件、设施应负责及时修复，或照价赔偿</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乙方应做好详细的管理台账，建立管理档案，并按双方约定将管理情况汇总报送甲方。</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乙方按采购要求委派专业项目人员至甲方指定地点进行现场办公。</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为确保服务质量，乙方安排管理人员进行监督管理。</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服务过程中，乙方必须采取周密的安全措施，以避免人身和财产损害事件的发生。如因乙方原因而造成人身伤害或财产损失的，由乙方承担。</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对于乙方服务期间由于服务</w:t>
      </w:r>
      <w:r>
        <w:rPr>
          <w:rFonts w:hint="eastAsia" w:ascii="宋体" w:hAnsi="宋体" w:eastAsia="宋体" w:cs="宋体"/>
          <w:sz w:val="21"/>
          <w:szCs w:val="21"/>
        </w:rPr>
        <w:t xml:space="preserve">工作不能及时完成，且造成较大影响的，甲方有权通过扣除服务费用进行处罚，扣除金额由甲方根据情况确定，乙方对此无异议。</w:t>
      </w:r>
      <w:r>
        <w:rPr>
          <w:rFonts w:ascii="宋体" w:hAnsi="宋体" w:eastAsia="宋体" w:cs="宋体"/>
          <w:sz w:val="21"/>
          <w:szCs w:val="21"/>
        </w:rPr>
      </w:r>
      <w:r/>
    </w:p>
    <w:p>
      <w:pPr>
        <w:pStyle w:val="85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乙方应确保从事本合同项下服务的工作人员为乙方合法雇员，并办理了相关职业保险。乙方雇员在为甲方提供本合同项下服务过程中的一切行为视为乙方行为，非因甲方原因而受到的人身伤害由乙方承担全部责任。乙方不得因与雇员之间的纠纷影响为甲方提供服务。对于甲方认为不适合继续从事本合同项下服务的雇员，一经甲方提出，乙方应立即予以更换。</w:t>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11.乙方保证其提供的服务未侵犯第三人之著作权、商标权、专利权等知识产权，不会侵犯任何第三人的商业秘密或对任何第三人构成不正当竞争，如因此与第三人发生争议、诉讼或仲裁案件，由乙方承担全部责任，并负责赔偿甲方由此而遭受的全部损失。同时乙方需提供全力支持防止因上述侵权给甲方带来的直接和预期的损失，包括但不限于提供甲方继续使用本合同项下的服务而需取得的第三方授权，并承担因此而产生的所有费用。</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六、验收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本项目在完成合同全部任务后进行最终验收。甲方应当在</w:t>
      </w:r>
      <w:r>
        <w:rPr>
          <w:rFonts w:ascii="宋体" w:hAnsi="宋体" w:eastAsia="宋体" w:cs="宋体"/>
          <w:sz w:val="21"/>
          <w:szCs w:val="21"/>
        </w:rPr>
        <w:t xml:space="preserve">5</w:t>
      </w:r>
      <w:r>
        <w:rPr>
          <w:rFonts w:hint="eastAsia" w:ascii="宋体" w:hAnsi="宋体" w:eastAsia="宋体" w:cs="宋体"/>
          <w:sz w:val="21"/>
          <w:szCs w:val="21"/>
        </w:rPr>
        <w:t xml:space="preserve">个工作日内启动履约验收工作，并向乙方发出《政府采购约验收通知单》。</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在本合同约定的履行验收条件达到时，乙方可以主动联系采购人启动</w:t>
      </w:r>
      <w:r>
        <w:rPr>
          <w:rFonts w:hint="eastAsia" w:ascii="宋体" w:hAnsi="宋体" w:eastAsia="宋体" w:cs="宋体"/>
          <w:sz w:val="21"/>
          <w:szCs w:val="21"/>
        </w:rPr>
        <w:t xml:space="preserve">履约验收工作。</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甲方应当成立验收小组，负责采购项目履约验收具体工作。组成验收小组应符合以下要求：</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①验收小组一般由甲方指定的本单位</w:t>
      </w:r>
      <w:r>
        <w:rPr>
          <w:rFonts w:ascii="宋体" w:hAnsi="宋体" w:eastAsia="宋体" w:cs="宋体"/>
          <w:sz w:val="21"/>
          <w:szCs w:val="21"/>
        </w:rPr>
        <w:t xml:space="preserve">3</w:t>
      </w:r>
      <w:r>
        <w:rPr>
          <w:rFonts w:hint="eastAsia" w:ascii="宋体" w:hAnsi="宋体" w:eastAsia="宋体" w:cs="宋体"/>
          <w:sz w:val="21"/>
          <w:szCs w:val="21"/>
        </w:rPr>
        <w:t xml:space="preserve">名</w:t>
      </w:r>
      <w:r>
        <w:rPr>
          <w:rFonts w:ascii="宋体" w:hAnsi="宋体" w:eastAsia="宋体" w:cs="宋体"/>
          <w:sz w:val="21"/>
          <w:szCs w:val="21"/>
        </w:rPr>
        <w:t xml:space="preserve">(</w:t>
      </w:r>
      <w:r>
        <w:rPr>
          <w:rFonts w:hint="eastAsia" w:ascii="宋体" w:hAnsi="宋体" w:eastAsia="宋体" w:cs="宋体"/>
          <w:sz w:val="21"/>
          <w:szCs w:val="21"/>
        </w:rPr>
        <w:t xml:space="preserve">含</w:t>
      </w:r>
      <w:r>
        <w:rPr>
          <w:rFonts w:ascii="宋体" w:hAnsi="宋体" w:eastAsia="宋体" w:cs="宋体"/>
          <w:sz w:val="21"/>
          <w:szCs w:val="21"/>
        </w:rPr>
        <w:t xml:space="preserve">)</w:t>
      </w:r>
      <w:r>
        <w:rPr>
          <w:rFonts w:hint="eastAsia" w:ascii="宋体" w:hAnsi="宋体" w:eastAsia="宋体" w:cs="宋体"/>
          <w:sz w:val="21"/>
          <w:szCs w:val="21"/>
        </w:rPr>
        <w:t xml:space="preserve">以上单数工作人员组成，并确定一名负责人。参与本项目评审的甲方代表不能作为负责人，分期</w:t>
      </w:r>
      <w:r>
        <w:rPr>
          <w:rFonts w:ascii="宋体" w:hAnsi="宋体" w:eastAsia="宋体" w:cs="宋体"/>
          <w:sz w:val="21"/>
          <w:szCs w:val="21"/>
        </w:rPr>
        <w:t xml:space="preserve">(</w:t>
      </w:r>
      <w:r>
        <w:rPr>
          <w:rFonts w:hint="eastAsia" w:ascii="宋体" w:hAnsi="宋体" w:eastAsia="宋体" w:cs="宋体"/>
          <w:sz w:val="21"/>
          <w:szCs w:val="21"/>
        </w:rPr>
        <w:t xml:space="preserve">分段</w:t>
      </w:r>
      <w:r>
        <w:rPr>
          <w:rFonts w:ascii="宋体" w:hAnsi="宋体" w:eastAsia="宋体" w:cs="宋体"/>
          <w:sz w:val="21"/>
          <w:szCs w:val="21"/>
        </w:rPr>
        <w:t xml:space="preserve">)</w:t>
      </w:r>
      <w:r>
        <w:rPr>
          <w:rFonts w:hint="eastAsia" w:ascii="宋体" w:hAnsi="宋体" w:eastAsia="宋体" w:cs="宋体"/>
          <w:sz w:val="21"/>
          <w:szCs w:val="21"/>
        </w:rPr>
        <w:t xml:space="preserve">验收的负责人原则上应当保持一致，负责人不得无故更换。</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②根据采购项目特点和实际需要，可以邀请相关领域专业技术人员等作为验收小组成员参与验收。前期参与本采购项目相关采购活动的采购代理机构工作人员、评审专家以及与己方有利害关系的人员，不得作为验收小组成员参与履约验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③财政部门政府采购监管人员不得作为验收小组成员参与履约验收。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验收地点：甲方指定地点。</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验收标准：须符合我国最新颁布的与之相关的技术规范与标准，并同时满足采购文件要求和乙方所作承诺。</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任一项验收不合格的，乙方应负责在甲方限定的期限内完成整改，因整改而导致的费用和损失由乙方自行承担，若导致项目逾期的，乙方承担逾期违约责任。</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甲方所有验收意见将以书面形式做出并加盖甲方公章，因此除非甲方书面明示通过验收，否则任何其他行为均不代表甲方已验收合格。</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甲方的验收主要是对成果与规范是否基本一致所做，但并不免除乙</w:t>
      </w:r>
      <w:r>
        <w:rPr>
          <w:rFonts w:hint="eastAsia" w:ascii="宋体" w:hAnsi="宋体" w:eastAsia="宋体" w:cs="宋体"/>
          <w:sz w:val="21"/>
          <w:szCs w:val="21"/>
        </w:rPr>
        <w:t xml:space="preserve">方应当对成果本身负责。若乙方的成果及成果所依赖的数据错误，则仍应由乙方负责。</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七、违约责任：</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甲方违反合同规定，拒绝接受乙方提供服务，应当承担乙方由此造成的损失。</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乙方违约责任及违约金支付：</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2.1</w:t>
      </w:r>
      <w:r>
        <w:rPr>
          <w:rFonts w:hint="eastAsia" w:ascii="宋体" w:hAnsi="宋体" w:eastAsia="宋体" w:cs="宋体"/>
          <w:sz w:val="21"/>
          <w:szCs w:val="21"/>
        </w:rPr>
        <w:t xml:space="preserve">乙方不能提供服务的，或服务不合格从而影响甲方工作的，应向甲方偿付合同总价款</w:t>
      </w:r>
      <w:r>
        <w:rPr>
          <w:rFonts w:hint="eastAsia" w:ascii="宋体" w:hAnsi="宋体" w:eastAsia="宋体" w:cs="宋体"/>
          <w:sz w:val="21"/>
          <w:szCs w:val="21"/>
        </w:rPr>
        <w:t xml:space="preserve">20</w:t>
      </w:r>
      <w:r>
        <w:rPr>
          <w:rFonts w:ascii="宋体" w:hAnsi="宋体" w:eastAsia="宋体" w:cs="宋体"/>
          <w:sz w:val="21"/>
          <w:szCs w:val="21"/>
        </w:rPr>
        <w:t xml:space="preserve">%</w:t>
      </w:r>
      <w:r>
        <w:rPr>
          <w:rFonts w:hint="eastAsia" w:ascii="宋体" w:hAnsi="宋体" w:eastAsia="宋体" w:cs="宋体"/>
          <w:sz w:val="21"/>
          <w:szCs w:val="21"/>
        </w:rPr>
        <w:t xml:space="preserve">的违约金，同时赔偿甲方因此产生的损失。</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2.2</w:t>
      </w:r>
      <w:r>
        <w:rPr>
          <w:rFonts w:hint="eastAsia" w:ascii="宋体" w:hAnsi="宋体" w:eastAsia="宋体" w:cs="宋体"/>
          <w:sz w:val="21"/>
          <w:szCs w:val="21"/>
        </w:rPr>
        <w:t xml:space="preserve">乙方逾期提供服务的，应与甲方和政府采购管理部门协商，否则甲方有权解除合同并要求乙方支付合同总金额</w:t>
      </w:r>
      <w:r>
        <w:rPr>
          <w:rFonts w:ascii="宋体" w:hAnsi="宋体" w:eastAsia="宋体" w:cs="宋体"/>
          <w:sz w:val="21"/>
          <w:szCs w:val="21"/>
        </w:rPr>
        <w:t xml:space="preserve">20%</w:t>
      </w:r>
      <w:r>
        <w:rPr>
          <w:rFonts w:hint="eastAsia" w:ascii="宋体" w:hAnsi="宋体" w:eastAsia="宋体" w:cs="宋体"/>
          <w:sz w:val="21"/>
          <w:szCs w:val="21"/>
        </w:rPr>
        <w:t xml:space="preserve">的违约金</w:t>
      </w:r>
      <w:r>
        <w:rPr>
          <w:rFonts w:ascii="宋体" w:hAnsi="宋体" w:eastAsia="宋体" w:cs="宋体"/>
          <w:sz w:val="21"/>
          <w:szCs w:val="21"/>
        </w:rPr>
        <w:t xml:space="preserve">;</w:t>
      </w:r>
      <w:r>
        <w:rPr>
          <w:rFonts w:hint="eastAsia" w:ascii="宋体" w:hAnsi="宋体" w:eastAsia="宋体" w:cs="宋体"/>
          <w:sz w:val="21"/>
          <w:szCs w:val="21"/>
        </w:rPr>
        <w:t xml:space="preserve">甲方仍有需求的，乙方应立即提供服务，并以合同总金额为计算基数，按照每天万分之四的标准支付逾期违约金，同时承担甲方因此招致的损失费用。</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八、不可抗力：</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因不可抗力</w:t>
      </w:r>
      <w:r>
        <w:rPr>
          <w:rFonts w:ascii="宋体" w:hAnsi="宋体" w:eastAsia="宋体" w:cs="宋体"/>
          <w:sz w:val="21"/>
          <w:szCs w:val="21"/>
        </w:rPr>
        <w:t xml:space="preserve">(</w:t>
      </w:r>
      <w:r>
        <w:rPr>
          <w:rFonts w:hint="eastAsia" w:ascii="宋体" w:hAnsi="宋体" w:eastAsia="宋体" w:cs="宋体"/>
          <w:sz w:val="21"/>
          <w:szCs w:val="21"/>
        </w:rPr>
        <w:t xml:space="preserve">或甲、乙双方</w:t>
      </w:r>
      <w:r>
        <w:rPr>
          <w:rFonts w:ascii="宋体" w:hAnsi="宋体" w:eastAsia="宋体" w:cs="宋体"/>
          <w:sz w:val="21"/>
          <w:szCs w:val="21"/>
        </w:rPr>
        <w:t xml:space="preserve">)</w:t>
      </w:r>
      <w:r>
        <w:rPr>
          <w:rFonts w:hint="eastAsia" w:ascii="宋体" w:hAnsi="宋体" w:eastAsia="宋体" w:cs="宋体"/>
          <w:sz w:val="21"/>
          <w:szCs w:val="21"/>
        </w:rPr>
        <w:t xml:space="preserve">不能控制的原因不能履行合同的，根据不可抗力的影响，部分或者全部免除责任。但合同一方迟延履行后发生不可抗力的，不能免除责任。</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合同一方因不可抗力不能履行合同的，应当及时通知对方，以减轻可能给对方造成的损失，并应当在合理期限内提供证明。</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九、合同修改：</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甲方和乙方都不得擅自变更本合同，但合同继续行将损害国家和社会公共利益的除外。</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十、转让和分包：</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政府采购合同的部分和全部都不得转让。</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十一、争议解决办法：因本合同或与本合同</w:t>
      </w:r>
      <w:r>
        <w:rPr>
          <w:rFonts w:hint="eastAsia" w:ascii="宋体" w:hAnsi="宋体" w:eastAsia="宋体" w:cs="宋体"/>
          <w:sz w:val="21"/>
          <w:szCs w:val="21"/>
        </w:rPr>
        <w:t xml:space="preserve">有关的一切事项发生争议，由双方友好协商解决。协商不成的，任何一方均可向甲方所在地的人民法院起诉，诉讼费、律师费等由违约方承担。</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十二、合同的解除：</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甲方和乙方协商一致，可以解除合同。</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有下列情形之一，合同一方可以解除合同：</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2.1</w:t>
      </w:r>
      <w:r>
        <w:rPr>
          <w:rFonts w:hint="eastAsia" w:ascii="宋体" w:hAnsi="宋体" w:eastAsia="宋体" w:cs="宋体"/>
          <w:sz w:val="21"/>
          <w:szCs w:val="21"/>
        </w:rPr>
        <w:t xml:space="preserve">因不可抗力致使不能实现合同目的，未受不可抗力影响的一方有权解除合同；</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2.2</w:t>
      </w:r>
      <w:r>
        <w:rPr>
          <w:rFonts w:hint="eastAsia" w:ascii="宋体" w:hAnsi="宋体" w:eastAsia="宋体" w:cs="宋体"/>
          <w:sz w:val="21"/>
          <w:szCs w:val="21"/>
        </w:rPr>
        <w:t xml:space="preserve">因合同一方违约导致合同不能履行，另一方有权解除合同。</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有权解除合同的一方，应当在违约事实或不可抗力发生之后三十天内书面通知对方提出解除合同，合同在书面通知到达对方时解除。</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十三、其它约定事项：</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下列文件为本合同不可分割部分：</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1.1</w:t>
      </w:r>
      <w:r>
        <w:rPr>
          <w:rFonts w:hint="eastAsia" w:ascii="宋体" w:hAnsi="宋体" w:eastAsia="宋体" w:cs="宋体"/>
          <w:sz w:val="21"/>
          <w:szCs w:val="21"/>
        </w:rPr>
        <w:t xml:space="preserve">成交通知书；</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1.2</w:t>
      </w:r>
      <w:r>
        <w:rPr>
          <w:rFonts w:hint="eastAsia" w:ascii="宋体" w:hAnsi="宋体" w:eastAsia="宋体" w:cs="宋体"/>
          <w:sz w:val="21"/>
          <w:szCs w:val="21"/>
        </w:rPr>
        <w:t xml:space="preserve">乙方的磋商响应文件；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1.3</w:t>
      </w:r>
      <w:r>
        <w:rPr>
          <w:rFonts w:hint="eastAsia" w:ascii="宋体" w:hAnsi="宋体" w:eastAsia="宋体" w:cs="宋体"/>
          <w:sz w:val="21"/>
          <w:szCs w:val="21"/>
        </w:rPr>
        <w:t xml:space="preserve">乙方在磋商过程中所作的其它承诺，声明、书面澄清等；</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1.4</w:t>
      </w:r>
      <w:r>
        <w:rPr>
          <w:rFonts w:hint="eastAsia" w:ascii="宋体" w:hAnsi="宋体" w:eastAsia="宋体" w:cs="宋体"/>
          <w:sz w:val="21"/>
          <w:szCs w:val="21"/>
        </w:rPr>
        <w:t xml:space="preserve">竞争性磋商文件及其附件；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1.5</w:t>
      </w:r>
      <w:r>
        <w:rPr>
          <w:rFonts w:hint="eastAsia" w:ascii="宋体" w:hAnsi="宋体" w:eastAsia="宋体" w:cs="宋体"/>
          <w:sz w:val="21"/>
          <w:szCs w:val="21"/>
        </w:rPr>
        <w:t xml:space="preserve">合同附件；</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以上与本合同具有同等法律效力。</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乙方除应做好服务人员的安全教育外，还应为服务人员提供必要的劳动保护条件，为服务人员办理作业时的人身安全保险和意外伤害险，一切安全责任事故均由乙方负责</w:t>
      </w:r>
      <w:r>
        <w:rPr>
          <w:rFonts w:ascii="宋体" w:hAnsi="宋体" w:eastAsia="宋体" w:cs="宋体"/>
          <w:sz w:val="21"/>
          <w:szCs w:val="21"/>
        </w:rPr>
        <w:t xml:space="preserve">(</w:t>
      </w:r>
      <w:r>
        <w:rPr>
          <w:rFonts w:hint="eastAsia" w:ascii="宋体" w:hAnsi="宋体" w:eastAsia="宋体" w:cs="宋体"/>
          <w:sz w:val="21"/>
          <w:szCs w:val="21"/>
        </w:rPr>
        <w:t xml:space="preserve">保险种类由乙方自行选择</w:t>
      </w:r>
      <w:r>
        <w:rPr>
          <w:rFonts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十四、合同的生效：合同经甲乙双方代表签字并加盖公章或合同章后即生效。</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十五、附则：</w:t>
      </w:r>
      <w:r>
        <w:rPr>
          <w:rFonts w:ascii="宋体" w:hAnsi="宋体" w:eastAsia="宋体" w:cs="宋体"/>
          <w:sz w:val="21"/>
          <w:szCs w:val="21"/>
        </w:rPr>
      </w:r>
      <w:r/>
    </w:p>
    <w:p>
      <w:pPr>
        <w:pStyle w:val="844"/>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合同份数：本合同一</w:t>
      </w:r>
      <w:r>
        <w:rPr>
          <w:rFonts w:hint="eastAsia" w:ascii="宋体" w:hAnsi="宋体" w:eastAsia="宋体" w:cs="宋体"/>
          <w:sz w:val="21"/>
          <w:szCs w:val="21"/>
        </w:rPr>
        <w:t xml:space="preserve">式伍份，甲、乙双方各执贰份，采购代理机构壹份。</w:t>
      </w:r>
      <w:r>
        <w:rPr>
          <w:rFonts w:ascii="宋体" w:hAnsi="宋体" w:eastAsia="宋体" w:cs="宋体"/>
          <w:sz w:val="21"/>
          <w:szCs w:val="21"/>
        </w:rPr>
      </w:r>
      <w:r/>
    </w:p>
    <w:p>
      <w:pPr>
        <w:pStyle w:val="844"/>
        <w:ind w:firstLine="420"/>
        <w:jc w:val="left"/>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未尽事宜：本合同未尽事宜应按《中华人民共和国民法典》、《中华人民共和国政府采购法》以及其同相关法律、法规之规定解释。</w:t>
      </w:r>
      <w:r/>
    </w:p>
    <w:p>
      <w:pPr>
        <w:pStyle w:val="844"/>
        <w:spacing w:before="240" w:after="240" w:line="360" w:lineRule="auto"/>
        <w:rPr>
          <w:rFonts w:hint="eastAsia" w:ascii="宋体" w:hAnsi="宋体" w:eastAsia="宋体"/>
          <w:sz w:val="21"/>
          <w:szCs w:val="21"/>
        </w:rPr>
      </w:pPr>
      <w:r>
        <w:rPr>
          <w:rFonts w:ascii="宋体" w:hAnsi="宋体" w:eastAsia="宋体" w:cs="宋体"/>
          <w:sz w:val="21"/>
          <w:szCs w:val="21"/>
        </w:rPr>
        <w:br w:type="page" w:clear="all"/>
      </w:r>
      <w:r>
        <w:rPr>
          <w:rFonts w:hint="eastAsia"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5"/>
        <w:jc w:val="center"/>
        <w:spacing w:line="360" w:lineRule="auto"/>
        <w:rPr>
          <w:rFonts w:ascii="宋体" w:hAnsi="宋体" w:eastAsia="宋体"/>
          <w:sz w:val="52"/>
        </w:rPr>
      </w:pPr>
      <w:r/>
      <w:bookmarkStart w:id="68" w:name="_Toc7356"/>
      <w:r>
        <w:rPr>
          <w:rFonts w:hint="eastAsia" w:ascii="宋体" w:hAnsi="宋体" w:eastAsia="宋体"/>
          <w:sz w:val="52"/>
        </w:rPr>
        <w:t xml:space="preserve">第五章 评审办法</w:t>
      </w:r>
      <w:bookmarkEnd w:id="68"/>
      <w:r>
        <w:rPr>
          <w:rFonts w:ascii="宋体" w:hAnsi="宋体" w:eastAsia="宋体"/>
          <w:sz w:val="52"/>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sz w:val="21"/>
          <w:szCs w:val="21"/>
        </w:rPr>
      </w:pPr>
      <w:r>
        <w:rPr>
          <w:rFonts w:ascii="宋体" w:hAnsi="宋体" w:eastAsia="宋体"/>
          <w:sz w:val="21"/>
          <w:szCs w:val="21"/>
        </w:rPr>
      </w:r>
      <w:r/>
    </w:p>
    <w:p>
      <w:pPr>
        <w:pStyle w:val="844"/>
        <w:spacing w:line="360" w:lineRule="auto"/>
        <w:rPr>
          <w:rFonts w:ascii="宋体" w:hAnsi="宋体" w:eastAsia="宋体"/>
          <w:sz w:val="21"/>
          <w:szCs w:val="21"/>
        </w:rPr>
      </w:pPr>
      <w:r>
        <w:rPr>
          <w:rFonts w:ascii="宋体" w:hAnsi="宋体" w:eastAsia="宋体"/>
          <w:sz w:val="21"/>
          <w:szCs w:val="21"/>
        </w:rPr>
      </w:r>
      <w:r/>
    </w:p>
    <w:p>
      <w:pPr>
        <w:pStyle w:val="844"/>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844"/>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844"/>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w:t>
      </w:r>
      <w:r>
        <w:rPr>
          <w:rFonts w:ascii="宋体" w:hAnsi="宋体" w:eastAsia="宋体"/>
          <w:b/>
          <w:sz w:val="21"/>
          <w:szCs w:val="21"/>
        </w:rPr>
        <w:t xml:space="preserve">0分</w:t>
      </w:r>
      <w:r>
        <w:rPr>
          <w:rFonts w:hint="eastAsia" w:ascii="宋体" w:hAnsi="宋体" w:eastAsia="宋体"/>
          <w:b/>
          <w:sz w:val="21"/>
          <w:szCs w:val="21"/>
        </w:rPr>
        <w:t xml:space="preserve">）</w:t>
      </w:r>
      <w:r>
        <w:rPr>
          <w:rFonts w:ascii="宋体" w:hAnsi="宋体" w:eastAsia="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w:t>
      </w:r>
      <w:r>
        <w:rPr>
          <w:rFonts w:ascii="宋体" w:hAnsi="宋体" w:eastAsia="宋体"/>
          <w:sz w:val="21"/>
          <w:szCs w:val="21"/>
        </w:rPr>
        <w:t xml:space="preserve">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84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（二）服务方案（68分）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1.总体服务方案（10分）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按照采购内容、策展需求提供本次展会的总体服务方案大纲，包含展区内容规划、流程设置等。方案详实全面完善，契合总体要求，突显各个展区及功能区主题特色，具有可实施性、实际针对性得10分；方案较详实完善，较契合总体要求，较有可实施性及针对性得7分；方案一般，契合总体要求一般，可实施性及针对性一般得4分；未提供方案或方案较差不得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2.展馆规划及布局（8分）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围绕展览展陈主题，充分利用场馆内外条件，规划各个展区及功能区的空间与布局，总体布局与分区安排合理，主线明确、过渡自然，参观动线流畅，各功能点位清晰合理得8分；总体布局与分区安排较合理，主线较明确，参观动线较流畅，各功能点位较清晰合理得5分；总体布局与分区安排一般，参观动线不够流畅，各功能点位不够清晰合理得2分；未提供或较差不得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3.设计方案效果（10分）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各类展示区设计方案详细完整，主题突出，具有设计感、创意性，提供</w:t>
      </w:r>
      <w:r>
        <w:rPr>
          <w:rFonts w:hint="eastAsia" w:ascii="宋体" w:hAnsi="宋体" w:eastAsia="宋体" w:cs="宋体"/>
          <w:sz w:val="21"/>
          <w:szCs w:val="21"/>
        </w:rPr>
        <w:t xml:space="preserve">全面的设计平面布局图、效果图、施工工艺、创意文案和材质说明等，整体及局部设计图纸全面清晰，效果呈现真实、角度多样得10分；方案较详细完整，主题较突出，整体及局部设计图纸较全面，效果呈现较真实得7分；方案不够详细完整，主题一般，整体及局部设计图纸不够全面，效果呈现一般得4分；未提供或较差不得分。</w:t>
      </w:r>
      <w:r/>
    </w:p>
    <w:p>
      <w:pPr>
        <w:pStyle w:val="844"/>
        <w:ind w:firstLine="420"/>
        <w:spacing w:line="360" w:lineRule="auto"/>
        <w:rPr>
          <w:rFonts w:hint="eastAsia" w:ascii="宋体" w:hAnsi="宋体" w:eastAsia="宋体" w:cs="宋体"/>
          <w:sz w:val="21"/>
          <w:szCs w:val="21"/>
        </w:rPr>
      </w:pPr>
      <w:r/>
      <w:bookmarkStart w:id="69" w:name="OLE_LINK1"/>
      <w:r>
        <w:rPr>
          <w:rFonts w:hint="eastAsia" w:ascii="宋体" w:hAnsi="宋体" w:eastAsia="宋体" w:cs="宋体"/>
          <w:sz w:val="21"/>
          <w:szCs w:val="21"/>
        </w:rPr>
        <w:t xml:space="preserve">4.</w:t>
      </w:r>
      <w:r>
        <w:rPr>
          <w:rFonts w:hint="eastAsia" w:ascii="宋体" w:hAnsi="宋体" w:eastAsia="宋体" w:cs="宋体"/>
          <w:sz w:val="21"/>
          <w:szCs w:val="21"/>
        </w:rPr>
        <w:t xml:space="preserve">会议策划组织布置及会务搭建方案</w:t>
      </w:r>
      <w:r>
        <w:rPr>
          <w:rFonts w:hint="eastAsia" w:ascii="宋体" w:hAnsi="宋体" w:eastAsia="宋体" w:cs="宋体"/>
          <w:sz w:val="21"/>
          <w:szCs w:val="21"/>
        </w:rPr>
        <w:t xml:space="preserve">（8分）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会议策划组织布置及会务搭建方案</w:t>
      </w:r>
      <w:r>
        <w:rPr>
          <w:rFonts w:hint="eastAsia" w:ascii="宋体" w:hAnsi="宋体" w:eastAsia="宋体" w:cs="宋体"/>
          <w:sz w:val="21"/>
          <w:szCs w:val="21"/>
        </w:rPr>
        <w:t xml:space="preserve">设计与主题关联性强，呈现视觉效果佳，流程设计完善、搭建方案科学完善、可实施性强得8分；方案设计与主题关联性较强，搭建方案较为完善、可实施性较强得5分；对项目理解一般，设计及搭建实施方案一般得2分；未提供或较差不得分。</w:t>
      </w:r>
      <w:r/>
    </w:p>
    <w:p>
      <w:pPr>
        <w:pStyle w:val="844"/>
        <w:ind w:firstLine="420"/>
        <w:spacing w:line="360" w:lineRule="auto"/>
        <w:rPr>
          <w:rFonts w:hint="eastAsia" w:ascii="宋体" w:hAnsi="宋体" w:eastAsia="宋体" w:cs="宋体"/>
          <w:sz w:val="21"/>
          <w:szCs w:val="21"/>
        </w:rPr>
      </w:pPr>
      <w:r/>
      <w:bookmarkEnd w:id="69"/>
      <w:r>
        <w:rPr>
          <w:rFonts w:hint="eastAsia" w:ascii="宋体" w:hAnsi="宋体" w:eastAsia="宋体" w:cs="宋体"/>
          <w:sz w:val="21"/>
          <w:szCs w:val="21"/>
        </w:rPr>
        <w:t xml:space="preserve">5.主场服务及人员配备方案（8分）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场服务及人员配备方案：方案考虑全面、针对性强、人员配置恰当，设置点位合理，便于交通疏导及人员分流得8分；方案考虑较全面、针对性较强、人员配置较恰当，设置点位较合理，较便于交通疏导及人员分流得5分；方案考虑不全面、针对性差、人员配置不恰当，设置点位欠佳，不便于交通疏导及人员分流得2分；未提供或较差不得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6.后勤接待保障方案（8分）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后勤接待保障方案周全细致，保障措施合理、完善得8分；会务接待方案较周全细致，保障措施较为合理、完善得5分；接待方案简单，保障措施不完善得2分；未提供或较差不得分。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7.安保服务及应急预案（8分）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安保方案及应急预案考虑全面、科学合理、操作性强得8分；安保方案及预案较全面合理操作性较强得5分；方案简单、可行性一般得2分；未提供或较差不得分。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8.安装施工方案和保证措施（8分）</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制定完善的实施计划、质量保障措施以及安全监督管理计划等</w:t>
      </w:r>
      <w:r>
        <w:rPr>
          <w:rFonts w:hint="eastAsia" w:ascii="宋体" w:hAnsi="宋体" w:eastAsia="宋体" w:cs="宋体"/>
          <w:sz w:val="21"/>
          <w:szCs w:val="21"/>
        </w:rPr>
        <w:t xml:space="preserve">，根据科学合理化、完整性、详尽性（质量、安全、文明、节约）等综合评价，内容全面、科学合理、可执行性强得8分；内容较全面、可执行性较高得5分；基本满足得2分；未提供或较差不得分。</w:t>
      </w:r>
      <w:r/>
    </w:p>
    <w:p>
      <w:pPr>
        <w:pStyle w:val="84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（三）人员配备情况（16分）</w:t>
      </w:r>
      <w:r/>
    </w:p>
    <w:p>
      <w:pPr>
        <w:pStyle w:val="84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1.拟派项目负责人</w:t>
      </w:r>
      <w:bookmarkStart w:id="70" w:name="_Hlk217035255"/>
      <w:r>
        <w:rPr>
          <w:rFonts w:hint="eastAsia" w:ascii="宋体" w:hAnsi="宋体" w:eastAsia="宋体" w:cs="宋体"/>
          <w:sz w:val="21"/>
          <w:szCs w:val="21"/>
        </w:rPr>
        <w:t xml:space="preserve">获得过政府部门授予的荣誉或奖项的得3分；具有中级及以上职称的得3分；本项最高得6分。响应文件中需提供对应人员奖项证书或证明文件扫描件、职称证书扫描件及响应单位</w:t>
      </w:r>
      <w:r>
        <w:rPr>
          <w:rFonts w:hint="eastAsia" w:ascii="宋体" w:hAnsi="宋体" w:eastAsia="宋体"/>
          <w:sz w:val="21"/>
          <w:szCs w:val="21"/>
        </w:rPr>
        <w:t xml:space="preserve">其缴纳近期的社保证明复印件（人员如为响应单位法人或股东的，可提供法人、股东证明等材料复印件），否则不得分。</w:t>
      </w:r>
      <w:bookmarkEnd w:id="70"/>
      <w:r>
        <w:rPr>
          <w:rFonts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2.拟派团队人员（项目负责人除外）中具有初级及以上职称，每提供一个得2分，最高得10分。响应文件中需提供对应人员职称证书扫描件及响应单位</w:t>
      </w:r>
      <w:r>
        <w:rPr>
          <w:rFonts w:hint="eastAsia" w:ascii="宋体" w:hAnsi="宋体" w:eastAsia="宋体"/>
          <w:sz w:val="21"/>
          <w:szCs w:val="21"/>
        </w:rPr>
        <w:t xml:space="preserve">其缴纳近期的社保证明复印件（人员如为响应单位法人或股东的，可提供法人、股东证明等材料复印件），否则不得分。</w:t>
      </w:r>
      <w:r>
        <w:rPr>
          <w:rFonts w:hint="eastAsia" w:ascii="宋体" w:hAnsi="宋体" w:eastAsia="宋体" w:cs="宋体"/>
          <w:sz w:val="21"/>
          <w:szCs w:val="21"/>
        </w:rPr>
      </w:r>
      <w:r/>
    </w:p>
    <w:p>
      <w:pPr>
        <w:pStyle w:val="84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（四）响应单位综合实力比较（6分）</w:t>
      </w:r>
      <w:r/>
    </w:p>
    <w:p>
      <w:pPr>
        <w:pStyle w:val="844"/>
        <w:ind w:firstLine="42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响应单位获得过政府部门授予的荣誉或奖项的得2分。响应文件中需提供奖项证书或证明文件扫描件，否则不得分。</w:t>
      </w:r>
      <w:r>
        <w:rPr>
          <w:rFonts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响应单位自</w:t>
      </w:r>
      <w:r>
        <w:rPr>
          <w:rFonts w:ascii="宋体" w:hAnsi="宋体" w:eastAsia="宋体" w:cs="宋体"/>
          <w:sz w:val="21"/>
          <w:szCs w:val="21"/>
        </w:rPr>
        <w:t xml:space="preserve">2022</w:t>
      </w:r>
      <w:r>
        <w:rPr>
          <w:rFonts w:hint="eastAsia" w:ascii="宋体" w:hAnsi="宋体" w:eastAsia="宋体" w:cs="宋体"/>
          <w:sz w:val="21"/>
          <w:szCs w:val="21"/>
        </w:rPr>
        <w:t xml:space="preserve">年</w:t>
      </w:r>
      <w:r>
        <w:rPr>
          <w:rFonts w:ascii="宋体" w:hAnsi="宋体" w:eastAsia="宋体" w:cs="宋体"/>
          <w:sz w:val="21"/>
          <w:szCs w:val="21"/>
        </w:rPr>
        <w:t xml:space="preserve">1</w:t>
      </w:r>
      <w:r>
        <w:rPr>
          <w:rFonts w:hint="eastAsia" w:ascii="宋体" w:hAnsi="宋体" w:eastAsia="宋体" w:cs="宋体"/>
          <w:sz w:val="21"/>
          <w:szCs w:val="21"/>
        </w:rPr>
        <w:t xml:space="preserve">月</w:t>
      </w:r>
      <w:r>
        <w:rPr>
          <w:rFonts w:ascii="宋体" w:hAnsi="宋体" w:eastAsia="宋体" w:cs="宋体"/>
          <w:sz w:val="21"/>
          <w:szCs w:val="21"/>
        </w:rPr>
        <w:t xml:space="preserve">1</w:t>
      </w:r>
      <w:r>
        <w:rPr>
          <w:rFonts w:hint="eastAsia" w:ascii="宋体" w:hAnsi="宋体" w:eastAsia="宋体" w:cs="宋体"/>
          <w:sz w:val="21"/>
          <w:szCs w:val="21"/>
        </w:rPr>
        <w:t xml:space="preserve">日至今（以合同签订时间为准）承接过的类似项目业绩，每提供一个得</w:t>
      </w:r>
      <w:r>
        <w:rPr>
          <w:rFonts w:ascii="宋体" w:hAnsi="宋体" w:eastAsia="宋体" w:cs="宋体"/>
          <w:sz w:val="21"/>
          <w:szCs w:val="21"/>
        </w:rPr>
        <w:t xml:space="preserve">2</w:t>
      </w:r>
      <w:r>
        <w:rPr>
          <w:rFonts w:hint="eastAsia" w:ascii="宋体" w:hAnsi="宋体" w:eastAsia="宋体" w:cs="宋体"/>
          <w:sz w:val="21"/>
          <w:szCs w:val="21"/>
        </w:rPr>
        <w:t xml:space="preserve">分，最高得</w:t>
      </w:r>
      <w:r>
        <w:rPr>
          <w:rFonts w:ascii="宋体" w:hAnsi="宋体" w:eastAsia="宋体" w:cs="宋体"/>
          <w:sz w:val="21"/>
          <w:szCs w:val="21"/>
        </w:rPr>
        <w:t xml:space="preserve">4</w:t>
      </w:r>
      <w:r>
        <w:rPr>
          <w:rFonts w:hint="eastAsia" w:ascii="宋体" w:hAnsi="宋体" w:eastAsia="宋体" w:cs="宋体"/>
          <w:sz w:val="21"/>
          <w:szCs w:val="21"/>
        </w:rPr>
        <w:t xml:space="preserve">分。响应文件中需提供合同扫描件，否则不</w:t>
      </w:r>
      <w:r>
        <w:rPr>
          <w:rFonts w:hint="eastAsia" w:ascii="宋体" w:hAnsi="宋体" w:eastAsia="宋体" w:cs="宋体"/>
          <w:sz w:val="21"/>
          <w:szCs w:val="21"/>
        </w:rPr>
        <w:t xml:space="preserve">得分。</w:t>
      </w:r>
      <w:r/>
    </w:p>
    <w:p>
      <w:pPr>
        <w:pStyle w:val="844"/>
        <w:ind w:firstLine="420"/>
        <w:spacing w:line="360" w:lineRule="auto"/>
        <w:rPr>
          <w:rFonts w:ascii="宋体" w:hAnsi="宋体" w:eastAsia="宋体" w:cs="宋体"/>
          <w:bCs/>
          <w:sz w:val="21"/>
          <w:szCs w:val="21"/>
        </w:rPr>
      </w:pPr>
      <w:r>
        <w:rPr>
          <w:rFonts w:ascii="宋体" w:hAnsi="宋体" w:eastAsia="宋体"/>
          <w:bCs/>
          <w:sz w:val="21"/>
          <w:szCs w:val="21"/>
        </w:rPr>
        <w:t xml:space="preserve">  </w:t>
      </w:r>
      <w:r>
        <w:rPr>
          <w:rFonts w:ascii="宋体" w:hAnsi="宋体" w:eastAsia="宋体" w:cs="宋体"/>
          <w:bCs/>
          <w:sz w:val="21"/>
          <w:szCs w:val="21"/>
        </w:rPr>
      </w:r>
      <w:r/>
    </w:p>
    <w:p>
      <w:pPr>
        <w:pStyle w:val="844"/>
        <w:ind w:firstLine="422"/>
        <w:spacing w:line="360" w:lineRule="auto"/>
        <w:rPr>
          <w:rFonts w:ascii="宋体" w:hAnsi="宋体" w:eastAsia="宋体"/>
          <w:b/>
          <w:sz w:val="21"/>
          <w:szCs w:val="21"/>
        </w:rPr>
      </w:pPr>
      <w:r>
        <w:rPr>
          <w:rFonts w:hint="eastAsia" w:ascii="宋体" w:hAnsi="宋体" w:eastAsia="宋体"/>
          <w:b/>
          <w:sz w:val="21"/>
          <w:szCs w:val="21"/>
        </w:rPr>
        <w:t xml:space="preserve">注：</w:t>
      </w:r>
      <w:r>
        <w:rPr>
          <w:rFonts w:ascii="宋体" w:hAnsi="宋体" w:eastAsia="宋体"/>
          <w:b/>
          <w:sz w:val="21"/>
          <w:szCs w:val="21"/>
        </w:rPr>
        <w:t xml:space="preserve">1.</w:t>
      </w:r>
      <w:r>
        <w:rPr>
          <w:rFonts w:hint="eastAsia" w:ascii="宋体" w:hAnsi="宋体" w:eastAsia="宋体"/>
          <w:b/>
          <w:sz w:val="21"/>
          <w:szCs w:val="21"/>
        </w:rPr>
        <w:t xml:space="preserve">报价超过采购预算的将不进入综合评审程序，也不得成交。</w:t>
      </w:r>
      <w:r>
        <w:rPr>
          <w:rFonts w:ascii="宋体" w:hAnsi="宋体" w:eastAsia="宋体"/>
          <w:b/>
          <w:sz w:val="21"/>
          <w:szCs w:val="21"/>
        </w:rPr>
      </w:r>
      <w:r/>
    </w:p>
    <w:p>
      <w:pPr>
        <w:pStyle w:val="844"/>
        <w:ind w:firstLine="422"/>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付款步骤、服务期限如有负偏离的不得成交。</w:t>
      </w:r>
      <w:r>
        <w:rPr>
          <w:rFonts w:ascii="宋体" w:hAnsi="宋体" w:eastAsia="宋体"/>
          <w:b/>
          <w:sz w:val="21"/>
          <w:szCs w:val="21"/>
        </w:rPr>
      </w:r>
      <w:r/>
    </w:p>
    <w:p>
      <w:pPr>
        <w:pStyle w:val="844"/>
        <w:ind w:firstLine="422"/>
        <w:spacing w:line="360" w:lineRule="auto"/>
        <w:rPr>
          <w:rFonts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针对评分标准中评分的每一条，磋商响应单位均应提供相关资料并作出相应说明供评委评判，不提供相关资料的视为不具备该项得分的条件。</w:t>
      </w:r>
      <w:r>
        <w:rPr>
          <w:rFonts w:ascii="宋体" w:hAnsi="宋体" w:eastAsia="宋体"/>
          <w:b/>
          <w:sz w:val="21"/>
          <w:szCs w:val="21"/>
        </w:rPr>
      </w:r>
      <w:r/>
    </w:p>
    <w:p>
      <w:pPr>
        <w:pStyle w:val="844"/>
        <w:ind w:firstLine="422"/>
        <w:spacing w:line="360" w:lineRule="auto"/>
        <w:rPr>
          <w:rFonts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采购文件中要求加盖响应单位公章的，可用电子签章代替。</w:t>
      </w:r>
      <w:r>
        <w:rPr>
          <w:rFonts w:ascii="宋体" w:hAnsi="宋体" w:eastAsia="宋体"/>
          <w:b/>
          <w:sz w:val="21"/>
          <w:szCs w:val="21"/>
        </w:rPr>
      </w:r>
      <w:r/>
    </w:p>
    <w:p>
      <w:pPr>
        <w:pStyle w:val="844"/>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JSZC-320500-SZHX-C2025-0055</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0"/>
      <w:isLgl w:val="false"/>
      <w:suff w:val="space"/>
      <w:lvlText w:val="%1"/>
      <w:lvlJc w:val="left"/>
      <w:pPr>
        <w:pStyle w:val="844"/>
        <w:ind w:left="0" w:firstLine="0"/>
      </w:pPr>
      <w:rPr>
        <w:rFonts w:hint="eastAsia" w:ascii="宋体" w:hAnsi="宋体" w:eastAsia="宋体"/>
        <w:b/>
      </w:rPr>
    </w:lvl>
    <w:lvl w:ilvl="1">
      <w:start w:val="1"/>
      <w:numFmt w:val="decimal"/>
      <w:pStyle w:val="996"/>
      <w:isLgl w:val="false"/>
      <w:suff w:val="space"/>
      <w:lvlText w:val="%1.%2"/>
      <w:lvlJc w:val="left"/>
      <w:pPr>
        <w:pStyle w:val="844"/>
        <w:ind w:left="0" w:firstLine="510"/>
      </w:pPr>
      <w:rPr>
        <w:rFonts w:hint="eastAsia" w:ascii="宋体" w:hAnsi="宋体" w:eastAsia="宋体"/>
      </w:rPr>
    </w:lvl>
    <w:lvl w:ilvl="2">
      <w:start w:val="1"/>
      <w:numFmt w:val="decimal"/>
      <w:pStyle w:val="930"/>
      <w:isLgl w:val="false"/>
      <w:suff w:val="tab"/>
      <w:lvlText w:val="%1.%2.%3"/>
      <w:lvlJc w:val="left"/>
      <w:pPr>
        <w:pStyle w:val="844"/>
        <w:ind w:left="0" w:firstLine="510"/>
      </w:pPr>
      <w:rPr>
        <w:rFonts w:hint="eastAsia"/>
      </w:rPr>
    </w:lvl>
    <w:lvl w:ilvl="3">
      <w:start w:val="1"/>
      <w:numFmt w:val="decimal"/>
      <w:pStyle w:val="997"/>
      <w:isLgl w:val="false"/>
      <w:suff w:val="tab"/>
      <w:lvlText w:val="%1.%2.%3.%4"/>
      <w:lvlJc w:val="left"/>
      <w:pPr>
        <w:pStyle w:val="844"/>
        <w:ind w:left="0" w:firstLine="425"/>
      </w:pPr>
      <w:rPr>
        <w:rFonts w:hint="eastAsia" w:ascii="宋体" w:hAnsi="宋体" w:eastAsia="宋体"/>
      </w:rPr>
    </w:lvl>
    <w:lvl w:ilvl="4">
      <w:start w:val="1"/>
      <w:numFmt w:val="decimal"/>
      <w:isLgl w:val="false"/>
      <w:suff w:val="tab"/>
      <w:lvlText w:val="%1.%2.%3.%4.%5"/>
      <w:lvlJc w:val="left"/>
      <w:pPr>
        <w:pStyle w:val="844"/>
        <w:ind w:left="2551" w:hanging="850"/>
      </w:pPr>
      <w:rPr>
        <w:rFonts w:hint="eastAsia"/>
      </w:rPr>
    </w:lvl>
    <w:lvl w:ilvl="5">
      <w:start w:val="1"/>
      <w:numFmt w:val="decimal"/>
      <w:isLgl w:val="false"/>
      <w:suff w:val="tab"/>
      <w:lvlText w:val="%1.%2.%3.%4.%5.%6"/>
      <w:lvlJc w:val="left"/>
      <w:pPr>
        <w:pStyle w:val="844"/>
        <w:ind w:left="3260" w:hanging="1134"/>
      </w:pPr>
      <w:rPr>
        <w:rFonts w:hint="eastAsia"/>
      </w:rPr>
    </w:lvl>
    <w:lvl w:ilvl="6">
      <w:start w:val="1"/>
      <w:numFmt w:val="decimal"/>
      <w:isLgl w:val="false"/>
      <w:suff w:val="tab"/>
      <w:lvlText w:val="%1.%2.%3.%4.%5.%6.%7"/>
      <w:lvlJc w:val="left"/>
      <w:pPr>
        <w:pStyle w:val="844"/>
        <w:ind w:left="3827" w:hanging="1276"/>
      </w:pPr>
      <w:rPr>
        <w:rFonts w:hint="eastAsia"/>
      </w:rPr>
    </w:lvl>
    <w:lvl w:ilvl="7">
      <w:start w:val="1"/>
      <w:numFmt w:val="decimal"/>
      <w:isLgl w:val="false"/>
      <w:suff w:val="tab"/>
      <w:lvlText w:val="%1.%2.%3.%4.%5.%6.%7.%8"/>
      <w:lvlJc w:val="left"/>
      <w:pPr>
        <w:pStyle w:val="844"/>
        <w:ind w:left="4394" w:hanging="1418"/>
      </w:pPr>
      <w:rPr>
        <w:rFonts w:hint="eastAsia"/>
      </w:rPr>
    </w:lvl>
    <w:lvl w:ilvl="8">
      <w:start w:val="1"/>
      <w:numFmt w:val="decimal"/>
      <w:isLgl w:val="false"/>
      <w:suff w:val="tab"/>
      <w:lvlText w:val="%1.%2.%3.%4.%5.%6.%7.%8.%9"/>
      <w:lvlJc w:val="left"/>
      <w:pPr>
        <w:pStyle w:val="844"/>
        <w:ind w:left="5102" w:hanging="1700"/>
      </w:pPr>
      <w:rPr>
        <w:rFonts w:hint="eastAsia"/>
      </w:rPr>
    </w:lvl>
  </w:abstractNum>
  <w:abstractNum w:abstractNumId="1">
    <w:multiLevelType w:val="hybridMultilevel"/>
    <w:lvl w:ilvl="0">
      <w:start w:val="1"/>
      <w:numFmt w:val="bullet"/>
      <w:pStyle w:val="965"/>
      <w:isLgl w:val="false"/>
      <w:suff w:val="tab"/>
      <w:lvlText w:val=""/>
      <w:lvlJc w:val="left"/>
      <w:pPr>
        <w:pStyle w:val="844"/>
        <w:ind w:left="840" w:hanging="420"/>
        <w:tabs>
          <w:tab w:val="num" w:pos="840" w:leader="none"/>
        </w:tabs>
      </w:pPr>
      <w:rPr>
        <w:rFonts w:ascii="Wingdings" w:hAnsi="Wingdings"/>
      </w:rPr>
    </w:lvl>
    <w:lvl w:ilvl="1">
      <w:start w:val="1"/>
      <w:numFmt w:val="decimal"/>
      <w:isLgl w:val="false"/>
      <w:suff w:val="tab"/>
      <w:lvlText w:val="%2."/>
      <w:lvlJc w:val="left"/>
      <w:pPr>
        <w:pStyle w:val="844"/>
        <w:ind w:left="1440" w:hanging="360"/>
        <w:tabs>
          <w:tab w:val="num" w:pos="1440" w:leader="none"/>
        </w:tabs>
      </w:pPr>
    </w:lvl>
    <w:lvl w:ilvl="2">
      <w:start w:val="1"/>
      <w:numFmt w:val="decimal"/>
      <w:isLgl w:val="false"/>
      <w:suff w:val="tab"/>
      <w:lvlText w:val="%3."/>
      <w:lvlJc w:val="left"/>
      <w:pPr>
        <w:pStyle w:val="844"/>
        <w:ind w:left="2160" w:hanging="360"/>
        <w:tabs>
          <w:tab w:val="num" w:pos="2160" w:leader="none"/>
        </w:tabs>
      </w:pPr>
    </w:lvl>
    <w:lvl w:ilvl="3">
      <w:start w:val="1"/>
      <w:numFmt w:val="decimal"/>
      <w:isLgl w:val="false"/>
      <w:suff w:val="tab"/>
      <w:lvlText w:val="%4."/>
      <w:lvlJc w:val="left"/>
      <w:pPr>
        <w:pStyle w:val="844"/>
        <w:ind w:left="2880" w:hanging="360"/>
        <w:tabs>
          <w:tab w:val="num" w:pos="2880" w:leader="none"/>
        </w:tabs>
      </w:pPr>
    </w:lvl>
    <w:lvl w:ilvl="4">
      <w:start w:val="1"/>
      <w:numFmt w:val="decimal"/>
      <w:isLgl w:val="false"/>
      <w:suff w:val="tab"/>
      <w:lvlText w:val="%5."/>
      <w:lvlJc w:val="left"/>
      <w:pPr>
        <w:pStyle w:val="844"/>
        <w:ind w:left="3600" w:hanging="360"/>
        <w:tabs>
          <w:tab w:val="num" w:pos="3600" w:leader="none"/>
        </w:tabs>
      </w:pPr>
    </w:lvl>
    <w:lvl w:ilvl="5">
      <w:start w:val="1"/>
      <w:numFmt w:val="decimal"/>
      <w:isLgl w:val="false"/>
      <w:suff w:val="tab"/>
      <w:lvlText w:val="%6."/>
      <w:lvlJc w:val="left"/>
      <w:pPr>
        <w:pStyle w:val="844"/>
        <w:ind w:left="4320" w:hanging="360"/>
        <w:tabs>
          <w:tab w:val="num" w:pos="4320" w:leader="none"/>
        </w:tabs>
      </w:pPr>
    </w:lvl>
    <w:lvl w:ilvl="6">
      <w:start w:val="1"/>
      <w:numFmt w:val="decimal"/>
      <w:isLgl w:val="false"/>
      <w:suff w:val="tab"/>
      <w:lvlText w:val="%7."/>
      <w:lvlJc w:val="left"/>
      <w:pPr>
        <w:pStyle w:val="844"/>
        <w:ind w:left="5040" w:hanging="360"/>
        <w:tabs>
          <w:tab w:val="num" w:pos="5040" w:leader="none"/>
        </w:tabs>
      </w:pPr>
    </w:lvl>
    <w:lvl w:ilvl="7">
      <w:start w:val="1"/>
      <w:numFmt w:val="decimal"/>
      <w:isLgl w:val="false"/>
      <w:suff w:val="tab"/>
      <w:lvlText w:val="%8."/>
      <w:lvlJc w:val="left"/>
      <w:pPr>
        <w:pStyle w:val="844"/>
        <w:ind w:left="5760" w:hanging="360"/>
        <w:tabs>
          <w:tab w:val="num" w:pos="5760" w:leader="none"/>
        </w:tabs>
      </w:pPr>
    </w:lvl>
    <w:lvl w:ilvl="8">
      <w:start w:val="1"/>
      <w:numFmt w:val="decimal"/>
      <w:isLgl w:val="false"/>
      <w:suff w:val="tab"/>
      <w:lvlText w:val="%9."/>
      <w:lvlJc w:val="left"/>
      <w:pPr>
        <w:pStyle w:val="844"/>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44"/>
    <w:next w:val="844"/>
    <w:link w:val="1015"/>
    <w:uiPriority w:val="9"/>
    <w:qFormat/>
    <w:pPr>
      <w:keepLines/>
      <w:keepNext/>
      <w:spacing w:before="480" w:after="200"/>
      <w:outlineLvl w:val="0"/>
    </w:pPr>
    <w:rPr>
      <w:rFonts w:ascii="Arial" w:hAnsi="Arial" w:eastAsia="Arial" w:cs="Arial"/>
      <w:sz w:val="40"/>
      <w:szCs w:val="40"/>
    </w:rPr>
  </w:style>
  <w:style w:type="paragraph" w:styleId="677">
    <w:name w:val="Heading 2"/>
    <w:basedOn w:val="844"/>
    <w:next w:val="844"/>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link w:val="677"/>
    <w:uiPriority w:val="9"/>
    <w:rPr>
      <w:rFonts w:ascii="Arial" w:hAnsi="Arial" w:eastAsia="Arial" w:cs="Arial"/>
      <w:sz w:val="34"/>
    </w:rPr>
  </w:style>
  <w:style w:type="paragraph" w:styleId="679">
    <w:name w:val="Heading 3"/>
    <w:basedOn w:val="844"/>
    <w:next w:val="844"/>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link w:val="679"/>
    <w:uiPriority w:val="9"/>
    <w:rPr>
      <w:rFonts w:ascii="Arial" w:hAnsi="Arial" w:eastAsia="Arial" w:cs="Arial"/>
      <w:sz w:val="30"/>
      <w:szCs w:val="30"/>
    </w:rPr>
  </w:style>
  <w:style w:type="paragraph" w:styleId="681">
    <w:name w:val="Heading 4"/>
    <w:basedOn w:val="844"/>
    <w:next w:val="844"/>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link w:val="681"/>
    <w:uiPriority w:val="9"/>
    <w:rPr>
      <w:rFonts w:ascii="Arial" w:hAnsi="Arial" w:eastAsia="Arial" w:cs="Arial"/>
      <w:b/>
      <w:bCs/>
      <w:sz w:val="26"/>
      <w:szCs w:val="26"/>
    </w:rPr>
  </w:style>
  <w:style w:type="paragraph" w:styleId="683">
    <w:name w:val="Heading 5"/>
    <w:basedOn w:val="844"/>
    <w:next w:val="844"/>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link w:val="683"/>
    <w:uiPriority w:val="9"/>
    <w:rPr>
      <w:rFonts w:ascii="Arial" w:hAnsi="Arial" w:eastAsia="Arial" w:cs="Arial"/>
      <w:b/>
      <w:bCs/>
      <w:sz w:val="24"/>
      <w:szCs w:val="24"/>
    </w:rPr>
  </w:style>
  <w:style w:type="paragraph" w:styleId="685">
    <w:name w:val="Heading 6"/>
    <w:basedOn w:val="844"/>
    <w:next w:val="844"/>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link w:val="685"/>
    <w:uiPriority w:val="9"/>
    <w:rPr>
      <w:rFonts w:ascii="Arial" w:hAnsi="Arial" w:eastAsia="Arial" w:cs="Arial"/>
      <w:b/>
      <w:bCs/>
      <w:sz w:val="22"/>
      <w:szCs w:val="22"/>
    </w:rPr>
  </w:style>
  <w:style w:type="paragraph" w:styleId="687">
    <w:name w:val="Heading 7"/>
    <w:basedOn w:val="844"/>
    <w:next w:val="844"/>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link w:val="687"/>
    <w:uiPriority w:val="9"/>
    <w:rPr>
      <w:rFonts w:ascii="Arial" w:hAnsi="Arial" w:eastAsia="Arial" w:cs="Arial"/>
      <w:b/>
      <w:bCs/>
      <w:i/>
      <w:iCs/>
      <w:sz w:val="22"/>
      <w:szCs w:val="22"/>
    </w:rPr>
  </w:style>
  <w:style w:type="paragraph" w:styleId="689">
    <w:name w:val="Heading 8"/>
    <w:basedOn w:val="844"/>
    <w:next w:val="844"/>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link w:val="689"/>
    <w:uiPriority w:val="9"/>
    <w:rPr>
      <w:rFonts w:ascii="Arial" w:hAnsi="Arial" w:eastAsia="Arial" w:cs="Arial"/>
      <w:i/>
      <w:iCs/>
      <w:sz w:val="22"/>
      <w:szCs w:val="22"/>
    </w:rPr>
  </w:style>
  <w:style w:type="paragraph" w:styleId="691">
    <w:name w:val="Heading 9"/>
    <w:basedOn w:val="844"/>
    <w:next w:val="844"/>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link w:val="691"/>
    <w:uiPriority w:val="9"/>
    <w:rPr>
      <w:rFonts w:ascii="Arial" w:hAnsi="Arial" w:eastAsia="Arial" w:cs="Arial"/>
      <w:i/>
      <w:iCs/>
      <w:sz w:val="21"/>
      <w:szCs w:val="21"/>
    </w:rPr>
  </w:style>
  <w:style w:type="paragraph" w:styleId="693">
    <w:name w:val="List Paragraph"/>
    <w:basedOn w:val="844"/>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44"/>
    <w:next w:val="844"/>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44"/>
    <w:next w:val="844"/>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44"/>
    <w:next w:val="844"/>
    <w:link w:val="700"/>
    <w:uiPriority w:val="29"/>
    <w:qFormat/>
    <w:pPr>
      <w:ind w:left="720" w:right="720"/>
    </w:pPr>
    <w:rPr>
      <w:i/>
    </w:rPr>
  </w:style>
  <w:style w:type="character" w:styleId="700">
    <w:name w:val="Quote Char"/>
    <w:link w:val="699"/>
    <w:uiPriority w:val="29"/>
    <w:rPr>
      <w:i/>
    </w:rPr>
  </w:style>
  <w:style w:type="paragraph" w:styleId="701">
    <w:name w:val="Intense Quote"/>
    <w:basedOn w:val="844"/>
    <w:next w:val="844"/>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44"/>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44"/>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44"/>
    <w:next w:val="844"/>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44"/>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44"/>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57"/>
    <w:link w:val="844"/>
    <w:qFormat/>
    <w:pPr>
      <w:jc w:val="both"/>
      <w:widowControl w:val="off"/>
    </w:pPr>
    <w:rPr>
      <w:rFonts w:eastAsia="楷体_GB2312"/>
      <w:sz w:val="26"/>
      <w:lang w:val="en-US" w:eastAsia="zh-CN" w:bidi="ar-SA"/>
    </w:rPr>
  </w:style>
  <w:style w:type="paragraph" w:styleId="845">
    <w:name w:val="标题 1"/>
    <w:basedOn w:val="844"/>
    <w:next w:val="844"/>
    <w:link w:val="844"/>
    <w:uiPriority w:val="1"/>
    <w:qFormat/>
    <w:pPr>
      <w:keepLines/>
      <w:keepNext/>
      <w:spacing w:before="340" w:after="330" w:line="578" w:lineRule="auto"/>
      <w:outlineLvl w:val="0"/>
    </w:pPr>
    <w:rPr>
      <w:b/>
      <w:sz w:val="44"/>
    </w:rPr>
  </w:style>
  <w:style w:type="paragraph" w:styleId="846">
    <w:name w:val="标题 2"/>
    <w:basedOn w:val="844"/>
    <w:next w:val="844"/>
    <w:link w:val="859"/>
    <w:qFormat/>
    <w:pPr>
      <w:jc w:val="left"/>
      <w:keepLines/>
      <w:keepNext/>
      <w:outlineLvl w:val="1"/>
    </w:pPr>
    <w:rPr>
      <w:rFonts w:ascii="宋体" w:hAnsi="宋体"/>
      <w:b/>
    </w:rPr>
  </w:style>
  <w:style w:type="paragraph" w:styleId="847">
    <w:name w:val="标题 3"/>
    <w:basedOn w:val="844"/>
    <w:next w:val="844"/>
    <w:link w:val="844"/>
    <w:uiPriority w:val="1"/>
    <w:qFormat/>
    <w:pPr>
      <w:jc w:val="left"/>
      <w:keepLines/>
      <w:keepNext/>
      <w:outlineLvl w:val="2"/>
    </w:pPr>
    <w:rPr>
      <w:b/>
    </w:rPr>
  </w:style>
  <w:style w:type="paragraph" w:styleId="848">
    <w:name w:val="标题 4"/>
    <w:basedOn w:val="844"/>
    <w:next w:val="844"/>
    <w:link w:val="844"/>
    <w:uiPriority w:val="1"/>
    <w:qFormat/>
    <w:pPr>
      <w:keepLines/>
      <w:keepNext/>
      <w:spacing w:before="280" w:after="290" w:line="376" w:lineRule="auto"/>
      <w:outlineLvl w:val="3"/>
    </w:pPr>
    <w:rPr>
      <w:rFonts w:ascii="Arial" w:hAnsi="Arial" w:eastAsia="黑体"/>
      <w:b/>
      <w:bCs/>
      <w:sz w:val="28"/>
      <w:szCs w:val="28"/>
    </w:rPr>
  </w:style>
  <w:style w:type="paragraph" w:styleId="849">
    <w:name w:val="标题 5"/>
    <w:basedOn w:val="844"/>
    <w:next w:val="844"/>
    <w:link w:val="844"/>
    <w:qFormat/>
    <w:pPr>
      <w:jc w:val="left"/>
      <w:keepLines/>
      <w:keepNext/>
      <w:spacing w:before="280" w:after="290" w:line="376" w:lineRule="atLeast"/>
      <w:outlineLvl w:val="4"/>
    </w:pPr>
    <w:rPr>
      <w:rFonts w:ascii="宋体" w:hAnsi="Tms Rmn" w:eastAsia="宋体"/>
      <w:b/>
      <w:sz w:val="28"/>
    </w:rPr>
  </w:style>
  <w:style w:type="paragraph" w:styleId="850">
    <w:name w:val="标题 6"/>
    <w:basedOn w:val="844"/>
    <w:next w:val="844"/>
    <w:link w:val="844"/>
    <w:qFormat/>
    <w:pPr>
      <w:jc w:val="left"/>
      <w:keepLines/>
      <w:keepNext/>
      <w:spacing w:before="240" w:after="64" w:line="320" w:lineRule="atLeast"/>
      <w:outlineLvl w:val="5"/>
    </w:pPr>
    <w:rPr>
      <w:rFonts w:ascii="黑体" w:hAnsi="Tms Rmn" w:eastAsia="黑体"/>
      <w:b/>
      <w:sz w:val="24"/>
    </w:rPr>
  </w:style>
  <w:style w:type="paragraph" w:styleId="851">
    <w:name w:val="标题 7"/>
    <w:basedOn w:val="844"/>
    <w:next w:val="844"/>
    <w:link w:val="844"/>
    <w:qFormat/>
    <w:pPr>
      <w:jc w:val="left"/>
      <w:keepLines/>
      <w:keepNext/>
      <w:spacing w:before="240" w:after="64" w:line="320" w:lineRule="atLeast"/>
      <w:outlineLvl w:val="6"/>
    </w:pPr>
    <w:rPr>
      <w:rFonts w:ascii="宋体" w:hAnsi="Tms Rmn" w:eastAsia="宋体"/>
      <w:b/>
      <w:sz w:val="24"/>
    </w:rPr>
  </w:style>
  <w:style w:type="paragraph" w:styleId="852">
    <w:name w:val="标题 8"/>
    <w:basedOn w:val="844"/>
    <w:next w:val="844"/>
    <w:link w:val="844"/>
    <w:qFormat/>
    <w:pPr>
      <w:keepLines/>
      <w:keepNext/>
      <w:spacing w:before="240" w:after="64" w:line="320" w:lineRule="auto"/>
      <w:outlineLvl w:val="7"/>
    </w:pPr>
    <w:rPr>
      <w:rFonts w:ascii="Arial" w:hAnsi="Arial" w:eastAsia="黑体"/>
      <w:sz w:val="24"/>
      <w:szCs w:val="24"/>
    </w:rPr>
  </w:style>
  <w:style w:type="paragraph" w:styleId="853">
    <w:name w:val="标题 9"/>
    <w:basedOn w:val="844"/>
    <w:next w:val="844"/>
    <w:link w:val="844"/>
    <w:qFormat/>
    <w:pPr>
      <w:keepLines/>
      <w:keepNext/>
      <w:spacing w:before="240" w:after="64" w:line="320" w:lineRule="auto"/>
      <w:outlineLvl w:val="8"/>
    </w:pPr>
    <w:rPr>
      <w:rFonts w:ascii="Arial" w:hAnsi="Arial" w:eastAsia="黑体"/>
      <w:sz w:val="21"/>
      <w:szCs w:val="21"/>
    </w:rPr>
  </w:style>
  <w:style w:type="character" w:styleId="854">
    <w:name w:val="默认段落字体"/>
    <w:next w:val="854"/>
    <w:link w:val="844"/>
    <w:uiPriority w:val="1"/>
    <w:unhideWhenUsed/>
  </w:style>
  <w:style w:type="table" w:styleId="855">
    <w:name w:val="普通表格"/>
    <w:next w:val="855"/>
    <w:link w:val="844"/>
    <w:uiPriority w:val="99"/>
    <w:unhideWhenUsed/>
    <w:tblPr/>
  </w:style>
  <w:style w:type="numbering" w:styleId="856">
    <w:name w:val="无列表"/>
    <w:next w:val="856"/>
    <w:link w:val="844"/>
    <w:uiPriority w:val="99"/>
    <w:semiHidden/>
    <w:unhideWhenUsed/>
  </w:style>
  <w:style w:type="paragraph" w:styleId="857">
    <w:name w:val="正文文本"/>
    <w:basedOn w:val="844"/>
    <w:next w:val="857"/>
    <w:link w:val="858"/>
    <w:qFormat/>
    <w:pPr>
      <w:spacing w:line="400" w:lineRule="exact"/>
    </w:pPr>
    <w:rPr>
      <w:rFonts w:ascii="楷体_GB2312"/>
      <w:sz w:val="28"/>
    </w:rPr>
  </w:style>
  <w:style w:type="character" w:styleId="858">
    <w:name w:val="正文文本 字符"/>
    <w:next w:val="858"/>
    <w:link w:val="857"/>
    <w:qFormat/>
    <w:rPr>
      <w:rFonts w:ascii="楷体_GB2312" w:eastAsia="楷体_GB2312"/>
      <w:sz w:val="28"/>
      <w:lang w:val="en-US" w:eastAsia="zh-CN" w:bidi="ar-SA"/>
    </w:rPr>
  </w:style>
  <w:style w:type="character" w:styleId="859">
    <w:name w:val="标题 2 字符"/>
    <w:next w:val="859"/>
    <w:link w:val="846"/>
    <w:rPr>
      <w:rFonts w:ascii="宋体" w:hAnsi="宋体" w:eastAsia="楷体_GB2312"/>
      <w:b/>
      <w:sz w:val="26"/>
    </w:rPr>
  </w:style>
  <w:style w:type="paragraph" w:styleId="860">
    <w:name w:val="toc 7"/>
    <w:basedOn w:val="844"/>
    <w:next w:val="844"/>
    <w:link w:val="844"/>
    <w:semiHidden/>
    <w:qFormat/>
    <w:pPr>
      <w:ind w:left="2520"/>
    </w:pPr>
  </w:style>
  <w:style w:type="paragraph" w:styleId="861">
    <w:name w:val="索引 8"/>
    <w:basedOn w:val="844"/>
    <w:next w:val="844"/>
    <w:link w:val="844"/>
    <w:semiHidden/>
    <w:qFormat/>
    <w:pPr>
      <w:ind w:left="2940"/>
    </w:pPr>
  </w:style>
  <w:style w:type="paragraph" w:styleId="862">
    <w:name w:val="列表编号"/>
    <w:basedOn w:val="844"/>
    <w:next w:val="862"/>
    <w:link w:val="844"/>
    <w:qFormat/>
    <w:pPr>
      <w:ind w:left="1125" w:hanging="555"/>
      <w:tabs>
        <w:tab w:val="left" w:pos="1125" w:leader="none"/>
      </w:tabs>
    </w:pPr>
    <w:rPr>
      <w:rFonts w:eastAsia="宋体"/>
      <w:sz w:val="21"/>
      <w:szCs w:val="24"/>
    </w:rPr>
  </w:style>
  <w:style w:type="paragraph" w:styleId="863">
    <w:name w:val="正文缩进"/>
    <w:basedOn w:val="844"/>
    <w:next w:val="863"/>
    <w:link w:val="864"/>
    <w:qFormat/>
    <w:pPr>
      <w:ind w:firstLine="420"/>
      <w:jc w:val="left"/>
    </w:pPr>
    <w:rPr>
      <w:sz w:val="24"/>
    </w:rPr>
  </w:style>
  <w:style w:type="character" w:styleId="864">
    <w:name w:val="正文缩进 字符"/>
    <w:next w:val="864"/>
    <w:link w:val="863"/>
    <w:qFormat/>
    <w:rPr>
      <w:rFonts w:eastAsia="楷体_GB2312"/>
      <w:sz w:val="24"/>
      <w:lang w:val="en-US" w:eastAsia="zh-CN" w:bidi="ar-SA"/>
    </w:rPr>
  </w:style>
  <w:style w:type="paragraph" w:styleId="865">
    <w:name w:val="索引 5"/>
    <w:basedOn w:val="844"/>
    <w:next w:val="844"/>
    <w:link w:val="844"/>
    <w:semiHidden/>
    <w:qFormat/>
    <w:pPr>
      <w:ind w:left="1680"/>
    </w:pPr>
  </w:style>
  <w:style w:type="paragraph" w:styleId="866">
    <w:name w:val="文档结构图"/>
    <w:basedOn w:val="844"/>
    <w:next w:val="866"/>
    <w:link w:val="844"/>
    <w:semiHidden/>
    <w:qFormat/>
    <w:pPr>
      <w:shd w:val="clear" w:color="auto" w:fill="000080"/>
    </w:pPr>
    <w:rPr>
      <w:rFonts w:eastAsia="宋体"/>
      <w:sz w:val="21"/>
    </w:rPr>
  </w:style>
  <w:style w:type="paragraph" w:styleId="867">
    <w:name w:val="批注文字"/>
    <w:basedOn w:val="844"/>
    <w:next w:val="867"/>
    <w:link w:val="868"/>
    <w:uiPriority w:val="99"/>
    <w:semiHidden/>
    <w:qFormat/>
    <w:pPr>
      <w:jc w:val="left"/>
    </w:pPr>
  </w:style>
  <w:style w:type="character" w:styleId="868">
    <w:name w:val="批注文字 字符"/>
    <w:next w:val="868"/>
    <w:link w:val="867"/>
    <w:uiPriority w:val="99"/>
    <w:semiHidden/>
    <w:qFormat/>
    <w:rPr>
      <w:rFonts w:eastAsia="楷体_GB2312"/>
      <w:sz w:val="26"/>
    </w:rPr>
  </w:style>
  <w:style w:type="paragraph" w:styleId="869">
    <w:name w:val="索引 6"/>
    <w:basedOn w:val="844"/>
    <w:next w:val="844"/>
    <w:link w:val="844"/>
    <w:semiHidden/>
    <w:qFormat/>
    <w:pPr>
      <w:ind w:left="2100"/>
    </w:pPr>
  </w:style>
  <w:style w:type="paragraph" w:styleId="870">
    <w:name w:val="正文文本缩进"/>
    <w:basedOn w:val="844"/>
    <w:next w:val="870"/>
    <w:link w:val="844"/>
    <w:qFormat/>
    <w:pPr>
      <w:ind w:left="570"/>
      <w:spacing w:line="520" w:lineRule="exact"/>
    </w:pPr>
    <w:rPr>
      <w:rFonts w:ascii="方正仿宋简体" w:hAnsi="创艺简仿宋" w:eastAsia="方正仿宋简体"/>
      <w:sz w:val="24"/>
    </w:rPr>
  </w:style>
  <w:style w:type="paragraph" w:styleId="871">
    <w:name w:val="列表 2"/>
    <w:basedOn w:val="844"/>
    <w:next w:val="871"/>
    <w:link w:val="844"/>
    <w:qFormat/>
    <w:pPr>
      <w:ind w:left="840" w:hanging="420"/>
    </w:pPr>
    <w:rPr>
      <w:rFonts w:eastAsia="宋体"/>
      <w:sz w:val="21"/>
      <w:szCs w:val="24"/>
    </w:rPr>
  </w:style>
  <w:style w:type="paragraph" w:styleId="872">
    <w:name w:val="文本块"/>
    <w:basedOn w:val="844"/>
    <w:next w:val="872"/>
    <w:link w:val="844"/>
    <w:qFormat/>
    <w:pPr>
      <w:ind w:left="630" w:right="-609" w:firstLine="420"/>
      <w:spacing w:line="360" w:lineRule="auto"/>
    </w:pPr>
    <w:rPr>
      <w:rFonts w:hint="eastAsia" w:ascii="仿宋_GB2312" w:eastAsia="仿宋_GB2312"/>
      <w:sz w:val="21"/>
    </w:rPr>
  </w:style>
  <w:style w:type="paragraph" w:styleId="873">
    <w:name w:val="索引 4"/>
    <w:basedOn w:val="844"/>
    <w:next w:val="844"/>
    <w:link w:val="844"/>
    <w:semiHidden/>
    <w:qFormat/>
    <w:pPr>
      <w:ind w:left="1260"/>
    </w:pPr>
  </w:style>
  <w:style w:type="paragraph" w:styleId="874">
    <w:name w:val="toc 5"/>
    <w:basedOn w:val="844"/>
    <w:next w:val="844"/>
    <w:link w:val="844"/>
    <w:semiHidden/>
    <w:qFormat/>
    <w:pPr>
      <w:ind w:left="1680"/>
    </w:pPr>
  </w:style>
  <w:style w:type="paragraph" w:styleId="875">
    <w:name w:val="toc 3"/>
    <w:basedOn w:val="844"/>
    <w:next w:val="844"/>
    <w:link w:val="844"/>
    <w:uiPriority w:val="1"/>
    <w:qFormat/>
    <w:pPr>
      <w:ind w:left="840"/>
    </w:pPr>
  </w:style>
  <w:style w:type="paragraph" w:styleId="876">
    <w:name w:val="纯文本"/>
    <w:basedOn w:val="844"/>
    <w:next w:val="876"/>
    <w:link w:val="877"/>
    <w:qFormat/>
    <w:rPr>
      <w:rFonts w:ascii="宋体" w:hAnsi="Courier New"/>
    </w:rPr>
  </w:style>
  <w:style w:type="character" w:styleId="877">
    <w:name w:val="纯文本 字符"/>
    <w:next w:val="877"/>
    <w:link w:val="876"/>
    <w:qFormat/>
    <w:rPr>
      <w:rFonts w:ascii="宋体" w:hAnsi="Courier New" w:eastAsia="楷体_GB2312"/>
      <w:sz w:val="26"/>
      <w:lang w:val="en-US" w:eastAsia="zh-CN" w:bidi="ar-SA"/>
    </w:rPr>
  </w:style>
  <w:style w:type="paragraph" w:styleId="878">
    <w:name w:val="toc 8"/>
    <w:basedOn w:val="844"/>
    <w:next w:val="844"/>
    <w:link w:val="844"/>
    <w:semiHidden/>
    <w:qFormat/>
    <w:pPr>
      <w:ind w:left="2940"/>
    </w:pPr>
  </w:style>
  <w:style w:type="paragraph" w:styleId="879">
    <w:name w:val="索引 3"/>
    <w:basedOn w:val="844"/>
    <w:next w:val="844"/>
    <w:link w:val="844"/>
    <w:semiHidden/>
    <w:qFormat/>
    <w:pPr>
      <w:ind w:left="840"/>
    </w:pPr>
  </w:style>
  <w:style w:type="paragraph" w:styleId="880">
    <w:name w:val="日期"/>
    <w:basedOn w:val="844"/>
    <w:next w:val="844"/>
    <w:link w:val="881"/>
    <w:qFormat/>
    <w:rPr>
      <w:rFonts w:ascii="宋体" w:hAnsi="宋体"/>
      <w:sz w:val="24"/>
    </w:rPr>
  </w:style>
  <w:style w:type="character" w:styleId="881">
    <w:name w:val="日期 字符"/>
    <w:next w:val="881"/>
    <w:link w:val="880"/>
    <w:qFormat/>
    <w:rPr>
      <w:rFonts w:ascii="宋体" w:hAnsi="宋体" w:eastAsia="楷体_GB2312"/>
      <w:sz w:val="24"/>
    </w:rPr>
  </w:style>
  <w:style w:type="paragraph" w:styleId="882">
    <w:name w:val="正文文本缩进 2"/>
    <w:basedOn w:val="844"/>
    <w:next w:val="882"/>
    <w:link w:val="883"/>
    <w:qFormat/>
    <w:pPr>
      <w:ind w:firstLine="502"/>
      <w:spacing w:line="360" w:lineRule="auto"/>
      <w:tabs>
        <w:tab w:val="left" w:pos="0" w:leader="none"/>
      </w:tabs>
    </w:pPr>
    <w:rPr>
      <w:rFonts w:ascii="宋体" w:eastAsia="宋体"/>
      <w:b/>
      <w:bCs/>
      <w:sz w:val="24"/>
    </w:rPr>
  </w:style>
  <w:style w:type="character" w:styleId="883">
    <w:name w:val="正文文本缩进 2 字符"/>
    <w:next w:val="883"/>
    <w:link w:val="882"/>
    <w:qFormat/>
    <w:rPr>
      <w:rFonts w:ascii="宋体"/>
      <w:b/>
      <w:bCs/>
      <w:sz w:val="24"/>
    </w:rPr>
  </w:style>
  <w:style w:type="paragraph" w:styleId="884">
    <w:name w:val="批注框文本"/>
    <w:basedOn w:val="844"/>
    <w:next w:val="884"/>
    <w:link w:val="885"/>
    <w:uiPriority w:val="99"/>
    <w:semiHidden/>
    <w:qFormat/>
    <w:rPr>
      <w:sz w:val="18"/>
      <w:szCs w:val="18"/>
    </w:rPr>
  </w:style>
  <w:style w:type="character" w:styleId="885">
    <w:name w:val="批注框文本 字符"/>
    <w:next w:val="885"/>
    <w:link w:val="884"/>
    <w:uiPriority w:val="99"/>
    <w:semiHidden/>
    <w:qFormat/>
    <w:rPr>
      <w:rFonts w:eastAsia="楷体_GB2312"/>
      <w:sz w:val="18"/>
      <w:szCs w:val="18"/>
    </w:rPr>
  </w:style>
  <w:style w:type="paragraph" w:styleId="886">
    <w:name w:val="页脚"/>
    <w:basedOn w:val="844"/>
    <w:next w:val="886"/>
    <w:link w:val="887"/>
    <w:uiPriority w:val="99"/>
    <w:qFormat/>
    <w:pPr>
      <w:jc w:val="left"/>
      <w:tabs>
        <w:tab w:val="center" w:pos="4153" w:leader="none"/>
        <w:tab w:val="right" w:pos="8306" w:leader="none"/>
      </w:tabs>
    </w:pPr>
    <w:rPr>
      <w:sz w:val="18"/>
    </w:rPr>
  </w:style>
  <w:style w:type="character" w:styleId="887">
    <w:name w:val="页脚 字符"/>
    <w:next w:val="887"/>
    <w:link w:val="886"/>
    <w:uiPriority w:val="99"/>
    <w:qFormat/>
    <w:rPr>
      <w:rFonts w:eastAsia="楷体_GB2312"/>
      <w:sz w:val="18"/>
    </w:rPr>
  </w:style>
  <w:style w:type="paragraph" w:styleId="888">
    <w:name w:val="页眉"/>
    <w:basedOn w:val="844"/>
    <w:next w:val="888"/>
    <w:link w:val="889"/>
    <w:uiPriority w:val="99"/>
    <w:qFormat/>
    <w:pPr>
      <w:jc w:val="center"/>
      <w:tabs>
        <w:tab w:val="center" w:pos="4153" w:leader="none"/>
        <w:tab w:val="right" w:pos="8306" w:leader="none"/>
      </w:tabs>
      <w:pBdr>
        <w:bottom w:val="single" w:color="000000" w:sz="6" w:space="1"/>
      </w:pBdr>
    </w:pPr>
    <w:rPr>
      <w:sz w:val="18"/>
    </w:rPr>
  </w:style>
  <w:style w:type="character" w:styleId="889">
    <w:name w:val="页眉 字符"/>
    <w:next w:val="889"/>
    <w:link w:val="888"/>
    <w:uiPriority w:val="99"/>
    <w:qFormat/>
    <w:rPr>
      <w:rFonts w:eastAsia="楷体_GB2312"/>
      <w:sz w:val="18"/>
    </w:rPr>
  </w:style>
  <w:style w:type="paragraph" w:styleId="890">
    <w:name w:val="toc 1"/>
    <w:basedOn w:val="844"/>
    <w:next w:val="844"/>
    <w:link w:val="844"/>
    <w:uiPriority w:val="39"/>
    <w:qFormat/>
    <w:pPr>
      <w:jc w:val="left"/>
    </w:pPr>
    <w:rPr>
      <w:sz w:val="24"/>
    </w:rPr>
  </w:style>
  <w:style w:type="paragraph" w:styleId="891">
    <w:name w:val="toc 4"/>
    <w:basedOn w:val="844"/>
    <w:next w:val="844"/>
    <w:link w:val="844"/>
    <w:semiHidden/>
    <w:qFormat/>
    <w:pPr>
      <w:ind w:left="1260"/>
    </w:pPr>
  </w:style>
  <w:style w:type="paragraph" w:styleId="892">
    <w:name w:val="索引标题"/>
    <w:basedOn w:val="844"/>
    <w:next w:val="893"/>
    <w:link w:val="844"/>
    <w:semiHidden/>
    <w:qFormat/>
  </w:style>
  <w:style w:type="paragraph" w:styleId="893">
    <w:name w:val="索引 1"/>
    <w:basedOn w:val="844"/>
    <w:next w:val="844"/>
    <w:link w:val="844"/>
    <w:semiHidden/>
    <w:qFormat/>
  </w:style>
  <w:style w:type="paragraph" w:styleId="894">
    <w:name w:val="列表"/>
    <w:basedOn w:val="844"/>
    <w:next w:val="894"/>
    <w:link w:val="844"/>
    <w:qFormat/>
    <w:pPr>
      <w:ind w:left="420" w:hanging="420"/>
    </w:pPr>
    <w:rPr>
      <w:rFonts w:eastAsia="宋体"/>
      <w:sz w:val="21"/>
      <w:szCs w:val="24"/>
    </w:rPr>
  </w:style>
  <w:style w:type="paragraph" w:styleId="895">
    <w:name w:val="脚注文本"/>
    <w:basedOn w:val="844"/>
    <w:next w:val="895"/>
    <w:link w:val="844"/>
    <w:semiHidden/>
    <w:qFormat/>
    <w:pPr>
      <w:jc w:val="left"/>
    </w:pPr>
    <w:rPr>
      <w:sz w:val="18"/>
    </w:rPr>
  </w:style>
  <w:style w:type="paragraph" w:styleId="896">
    <w:name w:val="toc 6"/>
    <w:basedOn w:val="844"/>
    <w:next w:val="844"/>
    <w:link w:val="844"/>
    <w:semiHidden/>
    <w:qFormat/>
    <w:pPr>
      <w:ind w:left="2100"/>
    </w:pPr>
  </w:style>
  <w:style w:type="paragraph" w:styleId="897">
    <w:name w:val="正文文本缩进 3"/>
    <w:basedOn w:val="844"/>
    <w:next w:val="897"/>
    <w:link w:val="844"/>
    <w:qFormat/>
    <w:pPr>
      <w:ind w:firstLine="617"/>
      <w:spacing w:line="360" w:lineRule="auto"/>
    </w:pPr>
    <w:rPr>
      <w:rFonts w:eastAsia="宋体"/>
      <w:sz w:val="24"/>
      <w:szCs w:val="24"/>
    </w:rPr>
  </w:style>
  <w:style w:type="paragraph" w:styleId="898">
    <w:name w:val="索引 7"/>
    <w:basedOn w:val="844"/>
    <w:next w:val="844"/>
    <w:link w:val="844"/>
    <w:semiHidden/>
    <w:qFormat/>
    <w:pPr>
      <w:ind w:left="2520"/>
    </w:pPr>
  </w:style>
  <w:style w:type="paragraph" w:styleId="899">
    <w:name w:val="索引 9"/>
    <w:basedOn w:val="844"/>
    <w:next w:val="844"/>
    <w:link w:val="844"/>
    <w:semiHidden/>
    <w:qFormat/>
    <w:pPr>
      <w:ind w:left="3360"/>
    </w:pPr>
  </w:style>
  <w:style w:type="paragraph" w:styleId="900">
    <w:name w:val="图表目录"/>
    <w:basedOn w:val="844"/>
    <w:next w:val="844"/>
    <w:link w:val="844"/>
    <w:semiHidden/>
    <w:qFormat/>
    <w:pPr>
      <w:ind w:left="420" w:hanging="420"/>
      <w:jc w:val="left"/>
    </w:pPr>
    <w:rPr>
      <w:smallCaps/>
      <w:sz w:val="24"/>
    </w:rPr>
  </w:style>
  <w:style w:type="paragraph" w:styleId="901">
    <w:name w:val="toc 2"/>
    <w:basedOn w:val="844"/>
    <w:next w:val="844"/>
    <w:link w:val="844"/>
    <w:uiPriority w:val="1"/>
    <w:qFormat/>
    <w:pPr>
      <w:ind w:left="420"/>
    </w:pPr>
  </w:style>
  <w:style w:type="paragraph" w:styleId="902">
    <w:name w:val="toc 9"/>
    <w:basedOn w:val="844"/>
    <w:next w:val="844"/>
    <w:link w:val="844"/>
    <w:semiHidden/>
    <w:qFormat/>
    <w:pPr>
      <w:ind w:left="3360"/>
    </w:pPr>
  </w:style>
  <w:style w:type="paragraph" w:styleId="903">
    <w:name w:val="正文文本 2"/>
    <w:basedOn w:val="844"/>
    <w:next w:val="903"/>
    <w:link w:val="844"/>
    <w:qFormat/>
    <w:pPr>
      <w:spacing w:after="120" w:line="480" w:lineRule="auto"/>
    </w:pPr>
  </w:style>
  <w:style w:type="paragraph" w:styleId="904">
    <w:name w:val="HTML 预设格式"/>
    <w:basedOn w:val="844"/>
    <w:next w:val="904"/>
    <w:link w:val="8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05">
    <w:name w:val="普通(网站)"/>
    <w:basedOn w:val="844"/>
    <w:next w:val="905"/>
    <w:link w:val="844"/>
    <w:uiPriority w:val="99"/>
    <w:qFormat/>
    <w:pPr>
      <w:jc w:val="left"/>
      <w:spacing w:before="100" w:beforeAutospacing="1" w:after="100" w:afterAutospacing="1"/>
      <w:widowControl/>
    </w:pPr>
    <w:rPr>
      <w:rFonts w:ascii="宋体" w:hAnsi="宋体" w:eastAsia="宋体" w:cs="宋体"/>
      <w:sz w:val="24"/>
      <w:szCs w:val="24"/>
    </w:rPr>
  </w:style>
  <w:style w:type="paragraph" w:styleId="906">
    <w:name w:val="索引 2"/>
    <w:basedOn w:val="844"/>
    <w:next w:val="844"/>
    <w:link w:val="844"/>
    <w:semiHidden/>
    <w:qFormat/>
    <w:pPr>
      <w:ind w:left="420"/>
    </w:pPr>
  </w:style>
  <w:style w:type="paragraph" w:styleId="907">
    <w:name w:val="标题"/>
    <w:basedOn w:val="844"/>
    <w:next w:val="844"/>
    <w:link w:val="908"/>
    <w:uiPriority w:val="10"/>
    <w:qFormat/>
    <w:pPr>
      <w:jc w:val="center"/>
      <w:spacing w:before="240" w:after="60"/>
      <w:widowControl/>
      <w:outlineLvl w:val="0"/>
    </w:pPr>
    <w:rPr>
      <w:rFonts w:ascii="Calibri Light" w:hAnsi="Calibri Light" w:eastAsia="宋体"/>
      <w:b/>
      <w:bCs/>
      <w:sz w:val="32"/>
      <w:szCs w:val="32"/>
    </w:rPr>
  </w:style>
  <w:style w:type="character" w:styleId="908">
    <w:name w:val="标题 字符"/>
    <w:next w:val="908"/>
    <w:link w:val="907"/>
    <w:uiPriority w:val="10"/>
    <w:qFormat/>
    <w:rPr>
      <w:rFonts w:ascii="Calibri Light" w:hAnsi="Calibri Light"/>
      <w:b/>
      <w:bCs/>
      <w:sz w:val="32"/>
      <w:szCs w:val="32"/>
    </w:rPr>
  </w:style>
  <w:style w:type="paragraph" w:styleId="909">
    <w:name w:val="批注主题"/>
    <w:basedOn w:val="867"/>
    <w:next w:val="867"/>
    <w:link w:val="844"/>
    <w:semiHidden/>
    <w:qFormat/>
    <w:rPr>
      <w:b/>
      <w:bCs/>
    </w:rPr>
  </w:style>
  <w:style w:type="paragraph" w:styleId="910">
    <w:name w:val="正文文本首行缩进"/>
    <w:basedOn w:val="857"/>
    <w:next w:val="910"/>
    <w:link w:val="844"/>
    <w:qFormat/>
    <w:pPr>
      <w:ind w:firstLine="420"/>
      <w:spacing w:after="120" w:line="240" w:lineRule="auto"/>
    </w:pPr>
    <w:rPr>
      <w:rFonts w:ascii="Times New Roman"/>
      <w:sz w:val="26"/>
    </w:rPr>
  </w:style>
  <w:style w:type="paragraph" w:styleId="911">
    <w:name w:val="正文文本首行缩进 2"/>
    <w:basedOn w:val="870"/>
    <w:next w:val="911"/>
    <w:link w:val="844"/>
    <w:uiPriority w:val="99"/>
    <w:unhideWhenUsed/>
    <w:qFormat/>
    <w:pPr>
      <w:ind w:firstLine="420"/>
    </w:pPr>
  </w:style>
  <w:style w:type="table" w:styleId="912">
    <w:name w:val="网格型"/>
    <w:basedOn w:val="855"/>
    <w:next w:val="912"/>
    <w:link w:val="844"/>
    <w:uiPriority w:val="39"/>
    <w:qFormat/>
    <w:rPr>
      <w:rFonts w:ascii="Calibri" w:hAnsi="Calibri"/>
      <w:sz w:val="22"/>
      <w:szCs w:val="22"/>
    </w:rPr>
    <w:tblPr/>
  </w:style>
  <w:style w:type="character" w:styleId="913">
    <w:name w:val="页码"/>
    <w:next w:val="913"/>
    <w:link w:val="844"/>
    <w:qFormat/>
  </w:style>
  <w:style w:type="character" w:styleId="914">
    <w:name w:val="访问过的超链接"/>
    <w:next w:val="914"/>
    <w:link w:val="844"/>
    <w:qFormat/>
    <w:rPr>
      <w:color w:val="800080"/>
      <w:u w:val="single"/>
    </w:rPr>
  </w:style>
  <w:style w:type="character" w:styleId="915">
    <w:name w:val="强调"/>
    <w:next w:val="915"/>
    <w:link w:val="844"/>
    <w:uiPriority w:val="20"/>
    <w:qFormat/>
    <w:rPr>
      <w:color w:val="cc0000"/>
    </w:rPr>
  </w:style>
  <w:style w:type="character" w:styleId="916">
    <w:name w:val="超链接"/>
    <w:next w:val="916"/>
    <w:link w:val="844"/>
    <w:uiPriority w:val="99"/>
    <w:qFormat/>
    <w:rPr>
      <w:color w:val="0000ff"/>
      <w:u w:val="single"/>
    </w:rPr>
  </w:style>
  <w:style w:type="character" w:styleId="917">
    <w:name w:val="批注引用"/>
    <w:next w:val="917"/>
    <w:link w:val="844"/>
    <w:qFormat/>
    <w:rPr>
      <w:sz w:val="21"/>
      <w:szCs w:val="21"/>
    </w:rPr>
  </w:style>
  <w:style w:type="character" w:styleId="918">
    <w:name w:val="脚注引用"/>
    <w:next w:val="918"/>
    <w:link w:val="844"/>
    <w:semiHidden/>
    <w:qFormat/>
    <w:rPr>
      <w:vertAlign w:val="superscript"/>
    </w:rPr>
  </w:style>
  <w:style w:type="character" w:styleId="919">
    <w:name w:val="列出段落 Char"/>
    <w:next w:val="919"/>
    <w:link w:val="920"/>
    <w:rPr>
      <w:rFonts w:ascii="Times" w:hAnsi="Times"/>
      <w:sz w:val="24"/>
      <w:szCs w:val="24"/>
    </w:rPr>
  </w:style>
  <w:style w:type="paragraph" w:styleId="920">
    <w:name w:val="列出段落2"/>
    <w:basedOn w:val="844"/>
    <w:next w:val="920"/>
    <w:link w:val="919"/>
    <w:qFormat/>
    <w:pPr>
      <w:ind w:firstLine="420"/>
      <w:jc w:val="left"/>
      <w:spacing w:line="360" w:lineRule="auto"/>
      <w:widowControl/>
    </w:pPr>
    <w:rPr>
      <w:rFonts w:ascii="Times" w:hAnsi="Times" w:eastAsia="宋体"/>
      <w:sz w:val="24"/>
      <w:szCs w:val="24"/>
    </w:rPr>
  </w:style>
  <w:style w:type="character" w:styleId="921">
    <w:name w:val="A5 Char"/>
    <w:next w:val="921"/>
    <w:link w:val="922"/>
    <w:qFormat/>
    <w:rPr>
      <w:b/>
      <w:bCs/>
      <w:sz w:val="28"/>
      <w:szCs w:val="28"/>
    </w:rPr>
  </w:style>
  <w:style w:type="paragraph" w:styleId="922">
    <w:name w:val="A5"/>
    <w:basedOn w:val="849"/>
    <w:next w:val="922"/>
    <w:link w:val="921"/>
    <w:qFormat/>
    <w:pPr>
      <w:ind w:left="1008" w:hanging="1008"/>
      <w:jc w:val="both"/>
      <w:spacing w:line="376" w:lineRule="auto"/>
    </w:pPr>
    <w:rPr>
      <w:rFonts w:ascii="Times New Roman" w:hAnsi="Times New Roman"/>
      <w:bCs/>
      <w:szCs w:val="28"/>
    </w:rPr>
  </w:style>
  <w:style w:type="character" w:styleId="923">
    <w:name w:val="1招标书_正文 Char"/>
    <w:next w:val="923"/>
    <w:link w:val="924"/>
    <w:qFormat/>
    <w:rPr>
      <w:rFonts w:ascii="宋体" w:hAnsi="宋体" w:cs="宋体"/>
      <w:sz w:val="24"/>
    </w:rPr>
  </w:style>
  <w:style w:type="paragraph" w:styleId="924">
    <w:name w:val="1招标书_正文"/>
    <w:basedOn w:val="844"/>
    <w:next w:val="924"/>
    <w:link w:val="923"/>
    <w:qFormat/>
    <w:pPr>
      <w:ind w:firstLine="480"/>
      <w:jc w:val="left"/>
      <w:spacing w:line="360" w:lineRule="auto"/>
      <w:widowControl/>
    </w:pPr>
    <w:rPr>
      <w:rFonts w:ascii="宋体" w:hAnsi="宋体" w:eastAsia="宋体"/>
      <w:sz w:val="24"/>
    </w:rPr>
  </w:style>
  <w:style w:type="character" w:styleId="925">
    <w:name w:val="正文2 Char"/>
    <w:next w:val="925"/>
    <w:link w:val="926"/>
    <w:qFormat/>
    <w:rPr>
      <w:sz w:val="24"/>
      <w:szCs w:val="24"/>
    </w:rPr>
  </w:style>
  <w:style w:type="paragraph" w:styleId="926">
    <w:name w:val="正文2"/>
    <w:basedOn w:val="844"/>
    <w:next w:val="926"/>
    <w:link w:val="925"/>
    <w:qFormat/>
    <w:pPr>
      <w:ind w:firstLine="420"/>
      <w:spacing w:line="360" w:lineRule="auto"/>
    </w:pPr>
    <w:rPr>
      <w:rFonts w:eastAsia="宋体"/>
      <w:sz w:val="24"/>
      <w:szCs w:val="24"/>
    </w:rPr>
  </w:style>
  <w:style w:type="character" w:styleId="927">
    <w:name w:val="CL 正文1.5 Char"/>
    <w:next w:val="927"/>
    <w:link w:val="928"/>
    <w:qFormat/>
    <w:rPr>
      <w:rFonts w:ascii="Cambria" w:hAnsi="Cambria"/>
      <w:spacing w:val="4"/>
      <w:sz w:val="24"/>
      <w:szCs w:val="21"/>
    </w:rPr>
  </w:style>
  <w:style w:type="paragraph" w:styleId="928">
    <w:name w:val="CL 正文1.5"/>
    <w:basedOn w:val="844"/>
    <w:next w:val="928"/>
    <w:link w:val="927"/>
    <w:qFormat/>
    <w:pPr>
      <w:ind w:firstLine="200"/>
      <w:spacing w:line="360" w:lineRule="auto"/>
    </w:pPr>
    <w:rPr>
      <w:rFonts w:ascii="Cambria" w:hAnsi="Cambria" w:eastAsia="宋体"/>
      <w:spacing w:val="4"/>
      <w:sz w:val="24"/>
      <w:szCs w:val="21"/>
    </w:rPr>
  </w:style>
  <w:style w:type="character" w:styleId="929">
    <w:name w:val="Andy_3级 Char"/>
    <w:next w:val="929"/>
    <w:link w:val="930"/>
    <w:qFormat/>
    <w:rPr>
      <w:rFonts w:ascii="Calibri" w:hAnsi="Calibri"/>
      <w:sz w:val="24"/>
    </w:rPr>
  </w:style>
  <w:style w:type="paragraph" w:styleId="930">
    <w:name w:val="Andy_3级"/>
    <w:basedOn w:val="844"/>
    <w:next w:val="930"/>
    <w:link w:val="929"/>
    <w:qFormat/>
    <w:pPr>
      <w:numPr>
        <w:ilvl w:val="2"/>
        <w:numId w:val="1"/>
      </w:numPr>
      <w:spacing w:line="360" w:lineRule="auto"/>
    </w:pPr>
    <w:rPr>
      <w:rFonts w:ascii="Calibri" w:hAnsi="Calibri" w:eastAsia="宋体"/>
      <w:sz w:val="24"/>
    </w:rPr>
  </w:style>
  <w:style w:type="character" w:styleId="931">
    <w:name w:val="A3 Char"/>
    <w:next w:val="931"/>
    <w:link w:val="932"/>
    <w:qFormat/>
    <w:rPr>
      <w:b/>
      <w:bCs/>
      <w:sz w:val="24"/>
      <w:szCs w:val="32"/>
    </w:rPr>
  </w:style>
  <w:style w:type="paragraph" w:styleId="932">
    <w:name w:val="A3"/>
    <w:basedOn w:val="847"/>
    <w:next w:val="932"/>
    <w:link w:val="931"/>
    <w:qFormat/>
    <w:pPr>
      <w:ind w:left="720" w:hanging="720"/>
      <w:jc w:val="both"/>
      <w:spacing w:before="260" w:after="260" w:line="416" w:lineRule="auto"/>
    </w:pPr>
    <w:rPr>
      <w:rFonts w:eastAsia="宋体"/>
      <w:bCs/>
      <w:sz w:val="24"/>
      <w:szCs w:val="32"/>
    </w:rPr>
  </w:style>
  <w:style w:type="character" w:styleId="933">
    <w:name w:val="A2 Char"/>
    <w:next w:val="933"/>
    <w:link w:val="934"/>
    <w:qFormat/>
    <w:rPr>
      <w:rFonts w:ascii="Cambria" w:hAnsi="Cambria"/>
      <w:b/>
      <w:bCs/>
      <w:sz w:val="32"/>
      <w:szCs w:val="32"/>
    </w:rPr>
  </w:style>
  <w:style w:type="paragraph" w:styleId="934">
    <w:name w:val="A2"/>
    <w:basedOn w:val="846"/>
    <w:next w:val="934"/>
    <w:link w:val="933"/>
    <w:qFormat/>
    <w:pPr>
      <w:ind w:left="576" w:hanging="576"/>
      <w:jc w:val="both"/>
      <w:spacing w:before="260" w:after="260" w:line="416" w:lineRule="auto"/>
    </w:pPr>
    <w:rPr>
      <w:rFonts w:ascii="Cambria" w:hAnsi="Cambria" w:eastAsia="宋体"/>
      <w:bCs/>
      <w:sz w:val="32"/>
      <w:szCs w:val="32"/>
    </w:rPr>
  </w:style>
  <w:style w:type="character" w:styleId="935">
    <w:name w:val="封面：幼圆"/>
    <w:next w:val="935"/>
    <w:link w:val="844"/>
    <w:qFormat/>
    <w:rPr>
      <w:rFonts w:ascii="幼圆" w:hAnsi="幼圆" w:eastAsia="幼圆"/>
    </w:rPr>
  </w:style>
  <w:style w:type="character" w:styleId="936">
    <w:name w:val="图例 Char"/>
    <w:next w:val="936"/>
    <w:link w:val="937"/>
    <w:qFormat/>
    <w:rPr>
      <w:rFonts w:ascii="仿宋" w:hAnsi="仿宋" w:eastAsia="仿宋"/>
      <w:b/>
    </w:rPr>
  </w:style>
  <w:style w:type="paragraph" w:styleId="937">
    <w:name w:val="图例"/>
    <w:basedOn w:val="844"/>
    <w:next w:val="937"/>
    <w:link w:val="936"/>
    <w:qFormat/>
    <w:pPr>
      <w:ind w:right="74"/>
      <w:jc w:val="center"/>
      <w:spacing w:before="150" w:after="150" w:line="360" w:lineRule="auto"/>
    </w:pPr>
    <w:rPr>
      <w:rFonts w:ascii="仿宋" w:hAnsi="仿宋" w:eastAsia="仿宋"/>
      <w:b/>
      <w:sz w:val="20"/>
    </w:rPr>
  </w:style>
  <w:style w:type="character" w:styleId="938">
    <w:name w:val="A1 Char"/>
    <w:next w:val="938"/>
    <w:link w:val="939"/>
    <w:qFormat/>
    <w:rPr>
      <w:b/>
      <w:bCs/>
      <w:sz w:val="44"/>
      <w:szCs w:val="44"/>
    </w:rPr>
  </w:style>
  <w:style w:type="paragraph" w:styleId="939">
    <w:name w:val="A1"/>
    <w:basedOn w:val="845"/>
    <w:next w:val="939"/>
    <w:link w:val="938"/>
    <w:qFormat/>
    <w:pPr>
      <w:spacing w:line="360" w:lineRule="auto"/>
    </w:pPr>
    <w:rPr>
      <w:rFonts w:eastAsia="宋体"/>
      <w:bCs/>
      <w:szCs w:val="44"/>
    </w:rPr>
  </w:style>
  <w:style w:type="character" w:styleId="940">
    <w:name w:val="样式 首行缩进:  2 字符 Char"/>
    <w:next w:val="940"/>
    <w:link w:val="941"/>
    <w:qFormat/>
    <w:rPr>
      <w:rFonts w:eastAsia="仿宋_GB2312"/>
      <w:sz w:val="24"/>
      <w:lang w:bidi="ar-SA"/>
    </w:rPr>
  </w:style>
  <w:style w:type="paragraph" w:styleId="941">
    <w:name w:val="样式 首行缩进:  2 字符"/>
    <w:basedOn w:val="844"/>
    <w:next w:val="941"/>
    <w:link w:val="940"/>
    <w:qFormat/>
    <w:pPr>
      <w:ind w:firstLine="560"/>
      <w:spacing w:line="360" w:lineRule="auto"/>
    </w:pPr>
    <w:rPr>
      <w:rFonts w:eastAsia="仿宋_GB2312"/>
      <w:sz w:val="24"/>
    </w:rPr>
  </w:style>
  <w:style w:type="character" w:styleId="942">
    <w:name w:val="功能标题 Char"/>
    <w:next w:val="942"/>
    <w:link w:val="943"/>
    <w:qFormat/>
    <w:rPr>
      <w:rFonts w:ascii="黑体" w:eastAsia="黑体"/>
      <w:sz w:val="24"/>
    </w:rPr>
  </w:style>
  <w:style w:type="paragraph" w:styleId="943">
    <w:name w:val="功能标题"/>
    <w:basedOn w:val="844"/>
    <w:next w:val="943"/>
    <w:link w:val="942"/>
    <w:qFormat/>
    <w:pPr>
      <w:jc w:val="left"/>
      <w:spacing w:before="200" w:after="60"/>
    </w:pPr>
    <w:rPr>
      <w:rFonts w:ascii="黑体" w:eastAsia="黑体"/>
      <w:sz w:val="24"/>
    </w:rPr>
  </w:style>
  <w:style w:type="character" w:styleId="944">
    <w:name w:val="_正文段落 Char"/>
    <w:next w:val="944"/>
    <w:link w:val="945"/>
    <w:qFormat/>
    <w:rPr>
      <w:rFonts w:ascii="宋体" w:hAnsi="宋体"/>
      <w:sz w:val="24"/>
      <w:szCs w:val="24"/>
    </w:rPr>
  </w:style>
  <w:style w:type="paragraph" w:styleId="945">
    <w:name w:val="_正文段落"/>
    <w:basedOn w:val="844"/>
    <w:next w:val="945"/>
    <w:link w:val="944"/>
    <w:qFormat/>
    <w:pPr>
      <w:ind w:firstLine="480"/>
      <w:spacing w:line="360" w:lineRule="auto"/>
    </w:pPr>
    <w:rPr>
      <w:rFonts w:ascii="宋体" w:hAnsi="宋体" w:eastAsia="宋体"/>
      <w:sz w:val="24"/>
      <w:szCs w:val="24"/>
    </w:rPr>
  </w:style>
  <w:style w:type="character" w:styleId="946">
    <w:name w:val="ca-221"/>
    <w:next w:val="946"/>
    <w:link w:val="844"/>
    <w:qFormat/>
    <w:rPr>
      <w:rFonts w:hint="eastAsia" w:ascii="宋体" w:hAnsi="宋体" w:eastAsia="宋体"/>
      <w:color w:val="ff0000"/>
      <w:sz w:val="24"/>
      <w:szCs w:val="24"/>
    </w:rPr>
  </w:style>
  <w:style w:type="character" w:styleId="947">
    <w:name w:val="正文首行缩进 Char Char"/>
    <w:next w:val="947"/>
    <w:link w:val="948"/>
    <w:qFormat/>
    <w:rPr>
      <w:szCs w:val="24"/>
      <w:lang w:bidi="ar-SA"/>
    </w:rPr>
  </w:style>
  <w:style w:type="paragraph" w:styleId="948">
    <w:name w:val="正文首行缩进1"/>
    <w:basedOn w:val="857"/>
    <w:next w:val="948"/>
    <w:link w:val="947"/>
    <w:qFormat/>
    <w:pPr>
      <w:ind w:firstLine="420"/>
      <w:spacing w:after="120" w:line="240" w:lineRule="auto"/>
    </w:pPr>
    <w:rPr>
      <w:rFonts w:ascii="Times New Roman" w:eastAsia="宋体"/>
      <w:sz w:val="20"/>
      <w:szCs w:val="24"/>
    </w:rPr>
  </w:style>
  <w:style w:type="character" w:styleId="949">
    <w:name w:val="Andy_正文 Char"/>
    <w:next w:val="949"/>
    <w:link w:val="950"/>
    <w:qFormat/>
    <w:rPr>
      <w:rFonts w:ascii="Calibri" w:hAnsi="Calibri" w:cs="Calibri"/>
      <w:sz w:val="24"/>
      <w:szCs w:val="24"/>
    </w:rPr>
  </w:style>
  <w:style w:type="paragraph" w:styleId="950">
    <w:name w:val="Andy_正文"/>
    <w:basedOn w:val="844"/>
    <w:next w:val="950"/>
    <w:link w:val="949"/>
    <w:qFormat/>
    <w:pPr>
      <w:ind w:firstLine="480"/>
      <w:spacing w:line="360" w:lineRule="auto"/>
    </w:pPr>
    <w:rPr>
      <w:rFonts w:ascii="Calibri" w:hAnsi="Calibri" w:eastAsia="宋体"/>
      <w:sz w:val="24"/>
      <w:szCs w:val="24"/>
    </w:rPr>
  </w:style>
  <w:style w:type="character" w:styleId="951">
    <w:name w:val="普通文字 Char Char"/>
    <w:next w:val="951"/>
    <w:link w:val="844"/>
    <w:qFormat/>
    <w:rPr>
      <w:rFonts w:ascii="宋体" w:hAnsi="Courier New" w:eastAsia="楷体_GB2312"/>
      <w:sz w:val="26"/>
      <w:lang w:val="en-US" w:eastAsia="zh-CN" w:bidi="ar-SA"/>
    </w:rPr>
  </w:style>
  <w:style w:type="character" w:styleId="952">
    <w:name w:val="标准正文 Char"/>
    <w:next w:val="952"/>
    <w:link w:val="953"/>
    <w:qFormat/>
    <w:rPr>
      <w:rFonts w:cs="宋体"/>
      <w:sz w:val="24"/>
    </w:rPr>
  </w:style>
  <w:style w:type="paragraph" w:styleId="953">
    <w:name w:val="标准正文"/>
    <w:basedOn w:val="844"/>
    <w:next w:val="953"/>
    <w:link w:val="952"/>
    <w:qFormat/>
    <w:pPr>
      <w:ind w:left="840" w:firstLine="480"/>
      <w:spacing w:line="360" w:lineRule="auto"/>
    </w:pPr>
    <w:rPr>
      <w:rFonts w:eastAsia="宋体"/>
      <w:sz w:val="24"/>
    </w:rPr>
  </w:style>
  <w:style w:type="character" w:styleId="954">
    <w:name w:val="未处理的提及"/>
    <w:next w:val="954"/>
    <w:link w:val="844"/>
    <w:uiPriority w:val="99"/>
    <w:unhideWhenUsed/>
    <w:rPr>
      <w:color w:val="605e5c"/>
      <w:shd w:val="clear" w:color="auto" w:fill="e1dfdd"/>
    </w:rPr>
  </w:style>
  <w:style w:type="character" w:styleId="955">
    <w:name w:val="A4 Char"/>
    <w:next w:val="955"/>
    <w:link w:val="956"/>
    <w:qFormat/>
    <w:rPr>
      <w:rFonts w:ascii="Cambria" w:hAnsi="Cambria"/>
      <w:b/>
      <w:bCs/>
      <w:sz w:val="24"/>
      <w:szCs w:val="28"/>
    </w:rPr>
  </w:style>
  <w:style w:type="paragraph" w:styleId="956">
    <w:name w:val="A4"/>
    <w:basedOn w:val="848"/>
    <w:next w:val="956"/>
    <w:link w:val="955"/>
    <w:qFormat/>
    <w:pPr>
      <w:ind w:left="1148" w:hanging="864"/>
    </w:pPr>
    <w:rPr>
      <w:rFonts w:ascii="Cambria" w:hAnsi="Cambria" w:eastAsia="宋体"/>
      <w:sz w:val="24"/>
    </w:rPr>
  </w:style>
  <w:style w:type="paragraph" w:styleId="957">
    <w:name w:val="xl59"/>
    <w:basedOn w:val="844"/>
    <w:next w:val="957"/>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8">
    <w:name w:val="xl53"/>
    <w:basedOn w:val="844"/>
    <w:next w:val="95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9">
    <w:name w:val="Plain Text"/>
    <w:basedOn w:val="844"/>
    <w:next w:val="959"/>
    <w:link w:val="844"/>
    <w:qFormat/>
    <w:rPr>
      <w:rFonts w:ascii="宋体" w:hAnsi="Courier New"/>
    </w:rPr>
  </w:style>
  <w:style w:type="paragraph" w:styleId="960">
    <w:name w:val="列出段落1"/>
    <w:basedOn w:val="844"/>
    <w:next w:val="960"/>
    <w:link w:val="844"/>
    <w:qFormat/>
    <w:pPr>
      <w:ind w:firstLine="420"/>
      <w:jc w:val="left"/>
      <w:spacing w:line="360" w:lineRule="auto"/>
    </w:pPr>
    <w:rPr>
      <w:rFonts w:eastAsia="宋体"/>
      <w:sz w:val="21"/>
      <w:szCs w:val="24"/>
    </w:rPr>
  </w:style>
  <w:style w:type="paragraph" w:styleId="961">
    <w:name w:val="Plain Text1"/>
    <w:basedOn w:val="844"/>
    <w:next w:val="961"/>
    <w:link w:val="844"/>
    <w:qFormat/>
    <w:rPr>
      <w:rFonts w:ascii="宋体" w:hAnsi="Courier New"/>
    </w:rPr>
  </w:style>
  <w:style w:type="paragraph" w:styleId="962">
    <w:name w:val="大标题"/>
    <w:basedOn w:val="844"/>
    <w:next w:val="962"/>
    <w:link w:val="844"/>
    <w:qFormat/>
    <w:pPr>
      <w:jc w:val="center"/>
    </w:pPr>
    <w:rPr>
      <w:rFonts w:eastAsia="黑体" w:cs="宋体"/>
      <w:sz w:val="44"/>
    </w:rPr>
  </w:style>
  <w:style w:type="paragraph" w:styleId="963">
    <w:name w:val="xl66"/>
    <w:basedOn w:val="844"/>
    <w:next w:val="963"/>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4">
    <w:name w:val="xl64"/>
    <w:basedOn w:val="844"/>
    <w:next w:val="964"/>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65">
    <w:name w:val="列表内容"/>
    <w:basedOn w:val="844"/>
    <w:next w:val="844"/>
    <w:link w:val="844"/>
    <w:qFormat/>
    <w:pPr>
      <w:numPr>
        <w:ilvl w:val="0"/>
        <w:numId w:val="2"/>
      </w:numPr>
      <w:jc w:val="left"/>
      <w:widowControl/>
      <w:tabs>
        <w:tab w:val="left" w:pos="840" w:leader="none"/>
      </w:tabs>
    </w:pPr>
    <w:rPr>
      <w:rFonts w:eastAsia="宋体"/>
      <w:sz w:val="18"/>
      <w:szCs w:val="24"/>
    </w:rPr>
  </w:style>
  <w:style w:type="paragraph" w:styleId="966">
    <w:name w:val="Char Char Char"/>
    <w:basedOn w:val="844"/>
    <w:next w:val="966"/>
    <w:link w:val="844"/>
    <w:qFormat/>
    <w:rPr>
      <w:rFonts w:ascii="Tahoma" w:hAnsi="Tahoma" w:eastAsia="宋体"/>
      <w:sz w:val="24"/>
    </w:rPr>
  </w:style>
  <w:style w:type="paragraph" w:styleId="967">
    <w:name w:val="xl50"/>
    <w:basedOn w:val="844"/>
    <w:next w:val="967"/>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68">
    <w:name w:val="xl65"/>
    <w:basedOn w:val="844"/>
    <w:next w:val="96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9">
    <w:name w:val="xl47"/>
    <w:basedOn w:val="844"/>
    <w:next w:val="969"/>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70">
    <w:name w:val="xl62"/>
    <w:basedOn w:val="844"/>
    <w:next w:val="97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1">
    <w:name w:val="小四 段落 宋体 Char Char Char Char Char Char"/>
    <w:basedOn w:val="972"/>
    <w:next w:val="971"/>
    <w:link w:val="844"/>
    <w:qFormat/>
    <w:pPr>
      <w:ind w:firstLine="480"/>
    </w:pPr>
    <w:rPr>
      <w:rFonts w:ascii="宋体" w:hAnsi="宋体"/>
    </w:rPr>
  </w:style>
  <w:style w:type="paragraph" w:styleId="972">
    <w:name w:val="小四 段落 宋体 Char Char Char Char Char Char Char"/>
    <w:basedOn w:val="862"/>
    <w:next w:val="972"/>
    <w:link w:val="844"/>
    <w:semiHidden/>
    <w:qFormat/>
    <w:pPr>
      <w:ind w:left="0" w:right="-33" w:firstLine="545"/>
      <w:jc w:val="left"/>
      <w:spacing w:line="360" w:lineRule="auto"/>
      <w:tabs>
        <w:tab w:val="clear" w:pos="1125" w:leader="none"/>
      </w:tabs>
    </w:pPr>
    <w:rPr>
      <w:sz w:val="24"/>
    </w:rPr>
  </w:style>
  <w:style w:type="paragraph" w:styleId="973">
    <w:name w:val="font7"/>
    <w:basedOn w:val="844"/>
    <w:next w:val="973"/>
    <w:link w:val="844"/>
    <w:qFormat/>
    <w:pPr>
      <w:jc w:val="left"/>
      <w:spacing w:before="100" w:beforeAutospacing="1" w:after="100" w:afterAutospacing="1"/>
      <w:widowControl/>
    </w:pPr>
    <w:rPr>
      <w:rFonts w:eastAsia="宋体"/>
      <w:sz w:val="20"/>
    </w:rPr>
  </w:style>
  <w:style w:type="paragraph" w:styleId="974">
    <w:name w:val="纯文本4"/>
    <w:basedOn w:val="844"/>
    <w:next w:val="974"/>
    <w:link w:val="844"/>
    <w:qFormat/>
    <w:rPr>
      <w:rFonts w:ascii="宋体" w:hAnsi="Courier New"/>
    </w:rPr>
  </w:style>
  <w:style w:type="paragraph" w:styleId="975">
    <w:name w:val="Default"/>
    <w:next w:val="975"/>
    <w:link w:val="844"/>
    <w:qFormat/>
    <w:pPr>
      <w:widowControl w:val="off"/>
    </w:pPr>
    <w:rPr>
      <w:rFonts w:ascii="宋体" w:cs="宋体"/>
      <w:color w:val="000000"/>
      <w:sz w:val="24"/>
      <w:szCs w:val="24"/>
      <w:lang w:val="en-US" w:eastAsia="zh-CN" w:bidi="ar-SA"/>
    </w:rPr>
  </w:style>
  <w:style w:type="paragraph" w:styleId="976">
    <w:name w:val="xl55"/>
    <w:basedOn w:val="844"/>
    <w:next w:val="976"/>
    <w:link w:val="8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7">
    <w:name w:val="Table Paragraph"/>
    <w:basedOn w:val="844"/>
    <w:next w:val="977"/>
    <w:link w:val="844"/>
    <w:uiPriority w:val="1"/>
    <w:qFormat/>
    <w:pPr>
      <w:jc w:val="left"/>
    </w:pPr>
    <w:rPr>
      <w:rFonts w:ascii="Calibri" w:hAnsi="Calibri" w:eastAsia="宋体"/>
      <w:sz w:val="22"/>
      <w:szCs w:val="22"/>
      <w:lang w:eastAsia="en-US"/>
    </w:rPr>
  </w:style>
  <w:style w:type="paragraph" w:styleId="978">
    <w:name w:val="Default Paragraph Font Para Char"/>
    <w:basedOn w:val="844"/>
    <w:next w:val="978"/>
    <w:link w:val="844"/>
    <w:semiHidden/>
    <w:qFormat/>
    <w:pPr>
      <w:jc w:val="left"/>
      <w:spacing w:after="160" w:line="240" w:lineRule="exact"/>
      <w:widowControl/>
    </w:pPr>
    <w:rPr>
      <w:rFonts w:ascii="Verdana" w:hAnsi="Verdana" w:eastAsia="宋体"/>
      <w:sz w:val="20"/>
      <w:lang w:eastAsia="en-US"/>
    </w:rPr>
  </w:style>
  <w:style w:type="paragraph" w:styleId="979">
    <w:name w:val="xl58"/>
    <w:basedOn w:val="844"/>
    <w:next w:val="979"/>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0">
    <w:name w:val="xl60"/>
    <w:basedOn w:val="844"/>
    <w:next w:val="98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1">
    <w:name w:val="xl46"/>
    <w:basedOn w:val="844"/>
    <w:next w:val="98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2">
    <w:name w:val="xl54"/>
    <w:basedOn w:val="844"/>
    <w:next w:val="982"/>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3">
    <w:name w:val="纯文本2"/>
    <w:basedOn w:val="844"/>
    <w:next w:val="983"/>
    <w:link w:val="844"/>
    <w:qFormat/>
    <w:rPr>
      <w:rFonts w:ascii="宋体" w:hAnsi="Courier New"/>
    </w:rPr>
  </w:style>
  <w:style w:type="paragraph" w:styleId="984">
    <w:name w:val="Char"/>
    <w:basedOn w:val="844"/>
    <w:next w:val="984"/>
    <w:link w:val="844"/>
    <w:qFormat/>
    <w:pPr>
      <w:jc w:val="left"/>
      <w:spacing w:after="160" w:line="240" w:lineRule="exact"/>
      <w:widowControl/>
    </w:pPr>
    <w:rPr>
      <w:rFonts w:ascii="Verdana" w:hAnsi="Verdana" w:eastAsia="仿宋_GB2312"/>
      <w:sz w:val="24"/>
      <w:lang w:eastAsia="en-US"/>
    </w:rPr>
  </w:style>
  <w:style w:type="paragraph" w:styleId="985">
    <w:name w:val="Char1"/>
    <w:basedOn w:val="844"/>
    <w:next w:val="985"/>
    <w:link w:val="844"/>
    <w:qFormat/>
    <w:rPr>
      <w:rFonts w:ascii="Tahoma" w:hAnsi="Tahoma" w:eastAsia="宋体"/>
      <w:sz w:val="24"/>
    </w:rPr>
  </w:style>
  <w:style w:type="paragraph" w:styleId="986">
    <w:name w:val="列出段落3"/>
    <w:basedOn w:val="844"/>
    <w:next w:val="986"/>
    <w:link w:val="844"/>
    <w:uiPriority w:val="99"/>
    <w:unhideWhenUsed/>
    <w:qFormat/>
    <w:pPr>
      <w:ind w:firstLine="420"/>
    </w:pPr>
  </w:style>
  <w:style w:type="paragraph" w:styleId="987">
    <w:name w:val="Char Char3 Char Char Char Char Char Char Char Char Char Char Char Char Char Char Char Char"/>
    <w:basedOn w:val="844"/>
    <w:next w:val="987"/>
    <w:link w:val="844"/>
    <w:qFormat/>
    <w:pPr>
      <w:ind w:firstLine="200"/>
      <w:jc w:val="left"/>
      <w:spacing w:after="160" w:line="360" w:lineRule="auto"/>
      <w:widowControl/>
    </w:pPr>
    <w:rPr>
      <w:rFonts w:ascii="宋体" w:hAnsi="宋体" w:eastAsia="宋体"/>
      <w:sz w:val="24"/>
    </w:rPr>
  </w:style>
  <w:style w:type="paragraph" w:styleId="988">
    <w:name w:val="xl56"/>
    <w:basedOn w:val="844"/>
    <w:next w:val="98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9">
    <w:name w:val="tytytyty"/>
    <w:basedOn w:val="844"/>
    <w:next w:val="989"/>
    <w:link w:val="844"/>
    <w:pPr>
      <w:ind w:left="359" w:firstLine="480"/>
      <w:spacing w:line="360" w:lineRule="auto"/>
    </w:pPr>
    <w:rPr>
      <w:rFonts w:eastAsia="宋体"/>
      <w:sz w:val="24"/>
      <w:szCs w:val="24"/>
    </w:rPr>
  </w:style>
  <w:style w:type="paragraph" w:styleId="990">
    <w:name w:val="Andy_一级"/>
    <w:basedOn w:val="986"/>
    <w:next w:val="990"/>
    <w:link w:val="844"/>
    <w:qFormat/>
    <w:pPr>
      <w:numPr>
        <w:ilvl w:val="0"/>
        <w:numId w:val="1"/>
      </w:numPr>
      <w:ind w:firstLine="0"/>
      <w:keepNext/>
      <w:spacing w:line="360" w:lineRule="auto"/>
    </w:pPr>
    <w:rPr>
      <w:rFonts w:ascii="Calibri" w:hAnsi="Calibri" w:eastAsia="宋体"/>
      <w:b/>
      <w:sz w:val="24"/>
      <w:szCs w:val="22"/>
    </w:rPr>
  </w:style>
  <w:style w:type="paragraph" w:styleId="991">
    <w:name w:val="xl52"/>
    <w:basedOn w:val="844"/>
    <w:next w:val="99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2">
    <w:name w:val="xl51"/>
    <w:basedOn w:val="844"/>
    <w:next w:val="992"/>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3">
    <w:name w:val="Char Char"/>
    <w:basedOn w:val="844"/>
    <w:next w:val="993"/>
    <w:link w:val="844"/>
    <w:qFormat/>
    <w:rPr>
      <w:rFonts w:eastAsia="宋体"/>
      <w:sz w:val="21"/>
      <w:szCs w:val="24"/>
    </w:rPr>
  </w:style>
  <w:style w:type="paragraph" w:styleId="994">
    <w:name w:val="xl63"/>
    <w:basedOn w:val="844"/>
    <w:next w:val="994"/>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5">
    <w:name w:val="cardlist-value"/>
    <w:basedOn w:val="844"/>
    <w:next w:val="995"/>
    <w:link w:val="844"/>
    <w:qFormat/>
    <w:pPr>
      <w:jc w:val="left"/>
      <w:spacing w:before="100" w:beforeAutospacing="1" w:after="100" w:afterAutospacing="1"/>
      <w:widowControl/>
    </w:pPr>
    <w:rPr>
      <w:rFonts w:ascii="宋体" w:hAnsi="宋体" w:eastAsia="宋体" w:cs="宋体"/>
      <w:sz w:val="24"/>
      <w:szCs w:val="24"/>
    </w:rPr>
  </w:style>
  <w:style w:type="paragraph" w:styleId="996">
    <w:name w:val="Andy_二级"/>
    <w:basedOn w:val="986"/>
    <w:next w:val="996"/>
    <w:link w:val="844"/>
    <w:qFormat/>
    <w:pPr>
      <w:numPr>
        <w:ilvl w:val="1"/>
        <w:numId w:val="1"/>
      </w:numPr>
      <w:ind w:firstLine="0"/>
      <w:spacing w:line="360" w:lineRule="auto"/>
    </w:pPr>
    <w:rPr>
      <w:rFonts w:ascii="Calibri" w:hAnsi="Calibri" w:eastAsia="宋体"/>
      <w:sz w:val="24"/>
      <w:szCs w:val="22"/>
    </w:rPr>
  </w:style>
  <w:style w:type="paragraph" w:styleId="997">
    <w:name w:val="Andy_4级"/>
    <w:basedOn w:val="986"/>
    <w:next w:val="997"/>
    <w:link w:val="844"/>
    <w:qFormat/>
    <w:pPr>
      <w:numPr>
        <w:ilvl w:val="3"/>
        <w:numId w:val="1"/>
      </w:numPr>
      <w:ind w:firstLine="510"/>
      <w:spacing w:line="360" w:lineRule="auto"/>
    </w:pPr>
    <w:rPr>
      <w:rFonts w:ascii="Calibri" w:hAnsi="Calibri" w:eastAsia="宋体"/>
      <w:sz w:val="24"/>
    </w:rPr>
  </w:style>
  <w:style w:type="paragraph" w:styleId="998">
    <w:name w:val="xl61"/>
    <w:basedOn w:val="844"/>
    <w:next w:val="99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9">
    <w:name w:val="段"/>
    <w:next w:val="844"/>
    <w:link w:val="844"/>
    <w:qFormat/>
    <w:pPr>
      <w:ind w:firstLine="200"/>
      <w:jc w:val="both"/>
    </w:pPr>
    <w:rPr>
      <w:rFonts w:ascii="宋体" w:hAnsi="Calibri"/>
      <w:sz w:val="21"/>
      <w:lang w:val="en-US" w:eastAsia="zh-CN" w:bidi="ar-SA"/>
    </w:rPr>
  </w:style>
  <w:style w:type="paragraph" w:styleId="1000">
    <w:name w:val="font6"/>
    <w:basedOn w:val="844"/>
    <w:next w:val="1000"/>
    <w:link w:val="84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01">
    <w:name w:val="正文首行缩进2"/>
    <w:basedOn w:val="844"/>
    <w:next w:val="1001"/>
    <w:link w:val="844"/>
    <w:qFormat/>
    <w:pPr>
      <w:ind w:firstLine="200"/>
      <w:spacing w:line="360" w:lineRule="auto"/>
    </w:pPr>
    <w:rPr>
      <w:rFonts w:ascii="Arial" w:hAnsi="Arial" w:eastAsia="宋体" w:cs="宋体"/>
      <w:sz w:val="24"/>
    </w:rPr>
  </w:style>
  <w:style w:type="paragraph" w:styleId="1002">
    <w:name w:val="纯文本1"/>
    <w:basedOn w:val="844"/>
    <w:next w:val="1002"/>
    <w:link w:val="1003"/>
    <w:qFormat/>
    <w:rPr>
      <w:rFonts w:ascii="宋体" w:hAnsi="Courier New"/>
    </w:rPr>
  </w:style>
  <w:style w:type="character" w:styleId="1003">
    <w:name w:val="Plain Text Char"/>
    <w:next w:val="1003"/>
    <w:link w:val="1002"/>
    <w:qFormat/>
    <w:rPr>
      <w:rFonts w:ascii="宋体" w:hAnsi="Courier New" w:eastAsia="楷体_GB2312"/>
      <w:sz w:val="26"/>
    </w:rPr>
  </w:style>
  <w:style w:type="paragraph" w:styleId="1004">
    <w:name w:val="小四 段落 宋体 Char"/>
    <w:basedOn w:val="862"/>
    <w:next w:val="1004"/>
    <w:link w:val="844"/>
    <w:qFormat/>
    <w:pPr>
      <w:ind w:left="0" w:right="-33" w:firstLine="480"/>
      <w:jc w:val="left"/>
      <w:spacing w:line="360" w:lineRule="auto"/>
      <w:tabs>
        <w:tab w:val="clear" w:pos="1125" w:leader="none"/>
      </w:tabs>
    </w:pPr>
    <w:rPr>
      <w:sz w:val="24"/>
    </w:rPr>
  </w:style>
  <w:style w:type="paragraph" w:styleId="1005">
    <w:name w:val="p0"/>
    <w:basedOn w:val="844"/>
    <w:next w:val="1005"/>
    <w:link w:val="844"/>
    <w:qFormat/>
    <w:pPr>
      <w:jc w:val="left"/>
      <w:spacing w:before="100" w:beforeAutospacing="1" w:after="100" w:afterAutospacing="1"/>
      <w:widowControl/>
    </w:pPr>
    <w:rPr>
      <w:rFonts w:ascii="宋体" w:hAnsi="宋体" w:eastAsia="宋体" w:cs="宋体"/>
      <w:sz w:val="24"/>
      <w:szCs w:val="24"/>
    </w:rPr>
  </w:style>
  <w:style w:type="paragraph" w:styleId="1006">
    <w:name w:val="font5"/>
    <w:basedOn w:val="844"/>
    <w:next w:val="1006"/>
    <w:link w:val="844"/>
    <w:qFormat/>
    <w:pPr>
      <w:jc w:val="left"/>
      <w:spacing w:before="100" w:beforeAutospacing="1" w:after="100" w:afterAutospacing="1"/>
      <w:widowControl/>
    </w:pPr>
    <w:rPr>
      <w:rFonts w:hint="eastAsia" w:ascii="宋体" w:hAnsi="宋体" w:eastAsia="宋体"/>
      <w:sz w:val="18"/>
      <w:szCs w:val="18"/>
    </w:rPr>
  </w:style>
  <w:style w:type="paragraph" w:styleId="1007">
    <w:name w:val="xl57"/>
    <w:basedOn w:val="844"/>
    <w:next w:val="1007"/>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8">
    <w:name w:val="列表段落"/>
    <w:basedOn w:val="844"/>
    <w:next w:val="1008"/>
    <w:link w:val="844"/>
    <w:uiPriority w:val="34"/>
    <w:qFormat/>
    <w:pPr>
      <w:ind w:firstLine="420"/>
    </w:pPr>
  </w:style>
  <w:style w:type="paragraph" w:styleId="1009">
    <w:name w:val="Char Char Char1 Char Char Char Char"/>
    <w:basedOn w:val="844"/>
    <w:next w:val="1009"/>
    <w:link w:val="844"/>
    <w:qFormat/>
    <w:pPr>
      <w:jc w:val="left"/>
      <w:spacing w:after="160" w:line="240" w:lineRule="exact"/>
      <w:widowControl/>
    </w:pPr>
    <w:rPr>
      <w:rFonts w:eastAsia="宋体"/>
      <w:sz w:val="24"/>
      <w:szCs w:val="24"/>
    </w:rPr>
  </w:style>
  <w:style w:type="paragraph" w:styleId="1010">
    <w:name w:val="xl48"/>
    <w:basedOn w:val="844"/>
    <w:next w:val="101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1">
    <w:name w:val="xl45"/>
    <w:basedOn w:val="844"/>
    <w:next w:val="1011"/>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2">
    <w:name w:val="xl49"/>
    <w:basedOn w:val="844"/>
    <w:next w:val="1012"/>
    <w:link w:val="84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013">
    <w:name w:val="网格型1"/>
    <w:basedOn w:val="855"/>
    <w:next w:val="1013"/>
    <w:link w:val="844"/>
    <w:uiPriority w:val="59"/>
    <w:qFormat/>
    <w:rPr>
      <w:rFonts w:ascii="Calibri" w:hAnsi="Calibri" w:eastAsia="宋体" w:cs="Times New Roman"/>
    </w:rPr>
    <w:tblPr/>
  </w:style>
  <w:style w:type="paragraph" w:styleId="1014">
    <w:name w:val="纯文本3"/>
    <w:basedOn w:val="844"/>
    <w:next w:val="1014"/>
    <w:link w:val="844"/>
    <w:qFormat/>
    <w:pPr>
      <w:jc w:val="left"/>
      <w:widowControl/>
    </w:pPr>
    <w:rPr>
      <w:rFonts w:ascii="宋体" w:hAnsi="Courier New"/>
    </w:rPr>
  </w:style>
  <w:style w:type="character" w:styleId="1015">
    <w:name w:val="Heading 1 Char"/>
    <w:next w:val="1015"/>
    <w:link w:val="844"/>
    <w:uiPriority w:val="9"/>
    <w:rPr>
      <w:rFonts w:ascii="Arial" w:hAnsi="Arial" w:eastAsia="Arial" w:cs="Arial"/>
      <w:sz w:val="40"/>
      <w:szCs w:val="40"/>
    </w:rPr>
  </w:style>
  <w:style w:type="paragraph" w:styleId="1016">
    <w:name w:val="样式 标题 2 + Times New Roman 四号 非加粗 段前: 5 磅 段后: 0 磅 行距: 固定值 20..."/>
    <w:basedOn w:val="846"/>
    <w:next w:val="1016"/>
    <w:link w:val="844"/>
    <w:pPr>
      <w:jc w:val="both"/>
      <w:spacing w:before="100" w:line="400" w:lineRule="exact"/>
    </w:pPr>
    <w:rPr>
      <w:rFonts w:ascii="Times New Roman" w:hAnsi="Times New Roman" w:eastAsia="黑体" w:cs="宋体"/>
      <w:b w:val="0"/>
      <w:sz w:val="28"/>
    </w:rPr>
  </w:style>
  <w:style w:type="paragraph" w:styleId="1017">
    <w:name w:val="首行缩进"/>
    <w:basedOn w:val="844"/>
    <w:next w:val="1017"/>
    <w:link w:val="844"/>
    <w:qFormat/>
    <w:pPr>
      <w:ind w:left="1024" w:firstLine="480"/>
      <w:widowControl/>
    </w:pPr>
    <w:rPr>
      <w:rFonts w:ascii="Calibri" w:hAnsi="Calibri" w:eastAsia="宋体"/>
      <w:sz w:val="20"/>
      <w:lang w:val="zh-CN"/>
    </w:rPr>
  </w:style>
  <w:style w:type="paragraph" w:styleId="1018">
    <w:name w:val="列表段落11"/>
    <w:basedOn w:val="844"/>
    <w:next w:val="1018"/>
    <w:link w:val="844"/>
    <w:pPr>
      <w:ind w:firstLine="420"/>
    </w:pPr>
    <w:rPr>
      <w:rFonts w:ascii="Calibri" w:hAnsi="Calibri" w:eastAsia="宋体"/>
      <w:sz w:val="21"/>
      <w:szCs w:val="22"/>
    </w:rPr>
  </w:style>
  <w:style w:type="paragraph" w:styleId="1019">
    <w:name w:val="纯文本5"/>
    <w:basedOn w:val="844"/>
    <w:next w:val="1019"/>
    <w:link w:val="844"/>
    <w:qFormat/>
    <w:rPr>
      <w:rFonts w:ascii="宋体" w:hAnsi="Courier New" w:eastAsia="宋体"/>
      <w:sz w:val="21"/>
      <w:szCs w:val="24"/>
    </w:rPr>
  </w:style>
  <w:style w:type="paragraph" w:styleId="1020">
    <w:name w:val="修订"/>
    <w:next w:val="1020"/>
    <w:link w:val="844"/>
    <w:uiPriority w:val="99"/>
    <w:unhideWhenUsed/>
    <w:rPr>
      <w:rFonts w:eastAsia="楷体_GB2312"/>
      <w:sz w:val="26"/>
      <w:lang w:val="en-US" w:eastAsia="zh-CN" w:bidi="ar-SA"/>
    </w:rPr>
  </w:style>
  <w:style w:type="paragraph" w:styleId="1021">
    <w:name w:val="正文文本1"/>
    <w:basedOn w:val="844"/>
    <w:next w:val="1021"/>
    <w:link w:val="844"/>
    <w:qFormat/>
    <w:pPr>
      <w:spacing w:line="400" w:lineRule="exact"/>
    </w:pPr>
    <w:rPr>
      <w:rFonts w:ascii="楷体_GB2312" w:hAnsi="Calibri"/>
      <w:sz w:val="28"/>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34</cp:revision>
  <dcterms:created xsi:type="dcterms:W3CDTF">2025-05-13T06:56:00Z</dcterms:created>
  <dcterms:modified xsi:type="dcterms:W3CDTF">2025-12-19T07:17:37Z</dcterms:modified>
  <cp:version>1048576</cp:version>
</cp:coreProperties>
</file>